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D5" w:rsidRPr="005E52D5" w:rsidRDefault="005E52D5" w:rsidP="00986D73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szCs w:val="24"/>
        </w:rPr>
        <w:t xml:space="preserve">                                                         </w:t>
      </w: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TW"/>
        </w:rPr>
        <w:drawing>
          <wp:inline distT="0" distB="0" distL="0" distR="0" wp14:anchorId="62983972" wp14:editId="04E0A2AF">
            <wp:extent cx="1095375" cy="10668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2D5" w:rsidRPr="005E52D5" w:rsidRDefault="005E52D5" w:rsidP="00986D73">
      <w:pPr>
        <w:spacing w:after="0" w:line="240" w:lineRule="auto"/>
        <w:jc w:val="center"/>
        <w:rPr>
          <w:rFonts w:ascii="Cambria" w:eastAsia="Times New Roman" w:hAnsi="Cambria" w:cs="Arial,Bold"/>
          <w:b/>
          <w:bCs/>
          <w:sz w:val="24"/>
          <w:szCs w:val="24"/>
        </w:rPr>
      </w:pPr>
      <w:r w:rsidRPr="005E52D5">
        <w:rPr>
          <w:rFonts w:ascii="Cambria" w:eastAsia="Times New Roman" w:hAnsi="Cambria" w:cs="Arial,Bold"/>
          <w:b/>
          <w:bCs/>
          <w:sz w:val="24"/>
          <w:szCs w:val="24"/>
        </w:rPr>
        <w:t>НАРОДНА СКУПШТИНА РЕПУБЛИКЕ СРПСКЕ</w:t>
      </w:r>
    </w:p>
    <w:p w:rsidR="005E52D5" w:rsidRPr="005E52D5" w:rsidRDefault="005E52D5" w:rsidP="00986D7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,Bold"/>
          <w:b/>
          <w:bCs/>
          <w:sz w:val="24"/>
          <w:szCs w:val="24"/>
        </w:rPr>
      </w:pPr>
      <w:r w:rsidRPr="005E52D5">
        <w:rPr>
          <w:rFonts w:ascii="Cambria" w:eastAsia="Times New Roman" w:hAnsi="Cambria" w:cs="Arial,Bold"/>
          <w:b/>
          <w:bCs/>
          <w:sz w:val="24"/>
          <w:szCs w:val="24"/>
        </w:rPr>
        <w:t>NARODNA SKUPŠTINA REPUBLIKE SRPSKE</w:t>
      </w:r>
    </w:p>
    <w:p w:rsidR="005E52D5" w:rsidRPr="00857654" w:rsidRDefault="00FE3E20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…….…</w:t>
      </w:r>
      <w:r w:rsidR="005E52D5" w:rsidRPr="005E52D5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</w:t>
      </w:r>
      <w:r w:rsidR="004877C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</w:t>
      </w:r>
      <w:r w:rsidR="005E52D5" w:rsidRPr="005E52D5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</w:t>
      </w:r>
    </w:p>
    <w:p w:rsidR="005E52D5" w:rsidRPr="005E52D5" w:rsidRDefault="00882665" w:rsidP="00986D73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ru-RU"/>
        </w:rPr>
      </w:pPr>
      <w:r>
        <w:rPr>
          <w:rFonts w:ascii="Cambria" w:eastAsia="Times New Roman" w:hAnsi="Cambria" w:cs="Times New Roman"/>
          <w:b/>
          <w:sz w:val="24"/>
          <w:szCs w:val="24"/>
          <w:lang w:val="ru-RU"/>
        </w:rPr>
        <w:t>ЗАКОНОДАВНО-</w:t>
      </w:r>
      <w:r w:rsidR="005E52D5" w:rsidRPr="005E52D5">
        <w:rPr>
          <w:rFonts w:ascii="Cambria" w:eastAsia="Times New Roman" w:hAnsi="Cambria" w:cs="Times New Roman"/>
          <w:b/>
          <w:sz w:val="24"/>
          <w:szCs w:val="24"/>
          <w:lang w:val="ru-RU"/>
        </w:rPr>
        <w:t>ПРАВНО ОДЈЕЉЕЊЕ</w:t>
      </w:r>
    </w:p>
    <w:p w:rsidR="005E52D5" w:rsidRPr="005E52D5" w:rsidRDefault="005E52D5" w:rsidP="00986D73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ru-RU"/>
        </w:rPr>
      </w:pPr>
      <w:r w:rsidRPr="005E52D5">
        <w:rPr>
          <w:rFonts w:ascii="Cambria" w:eastAsia="Times New Roman" w:hAnsi="Cambria" w:cs="Times New Roman"/>
          <w:b/>
          <w:sz w:val="24"/>
          <w:szCs w:val="24"/>
          <w:lang w:val="ru-RU"/>
        </w:rPr>
        <w:t>ОДСЈЕК ЗА РАД СА ПОСЛАНИЦИМА</w:t>
      </w: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934E6D" w:rsidRDefault="005E52D5" w:rsidP="00986D73">
      <w:pPr>
        <w:spacing w:after="0" w:line="240" w:lineRule="auto"/>
        <w:rPr>
          <w:rFonts w:ascii="Cambria" w:eastAsia="Times New Roman" w:hAnsi="Cambria" w:cs="Times New Roman"/>
          <w:b/>
        </w:rPr>
      </w:pPr>
      <w:r w:rsidRPr="004877C8">
        <w:rPr>
          <w:rFonts w:ascii="Cambria" w:eastAsia="Times New Roman" w:hAnsi="Cambria" w:cs="Times New Roman"/>
          <w:b/>
          <w:lang w:val="ru-RU"/>
        </w:rPr>
        <w:t xml:space="preserve">Број: </w:t>
      </w:r>
      <w:r w:rsidR="00934E6D">
        <w:rPr>
          <w:rFonts w:ascii="Cambria" w:eastAsia="Times New Roman" w:hAnsi="Cambria" w:cs="Times New Roman"/>
          <w:b/>
        </w:rPr>
        <w:t>02/4.02-1373/18</w:t>
      </w:r>
    </w:p>
    <w:p w:rsidR="005E52D5" w:rsidRPr="00882665" w:rsidRDefault="005E52D5" w:rsidP="00986D73">
      <w:pPr>
        <w:spacing w:after="0" w:line="240" w:lineRule="auto"/>
        <w:rPr>
          <w:rFonts w:ascii="Cambria" w:eastAsia="Times New Roman" w:hAnsi="Cambria" w:cs="Times New Roman"/>
          <w:b/>
          <w:lang w:val="sr-Cyrl-RS"/>
        </w:rPr>
      </w:pPr>
      <w:r w:rsidRPr="004877C8">
        <w:rPr>
          <w:rFonts w:ascii="Cambria" w:eastAsia="Times New Roman" w:hAnsi="Cambria" w:cs="Times New Roman"/>
          <w:b/>
          <w:lang w:val="ru-RU"/>
        </w:rPr>
        <w:t xml:space="preserve">Датум: </w:t>
      </w:r>
      <w:r w:rsidR="00882665">
        <w:rPr>
          <w:rFonts w:ascii="Cambria" w:eastAsia="Times New Roman" w:hAnsi="Cambria" w:cs="Times New Roman"/>
          <w:b/>
        </w:rPr>
        <w:t>27. јул</w:t>
      </w:r>
      <w:r w:rsidR="00934E6D">
        <w:rPr>
          <w:rFonts w:ascii="Cambria" w:eastAsia="Times New Roman" w:hAnsi="Cambria" w:cs="Times New Roman"/>
          <w:b/>
        </w:rPr>
        <w:t xml:space="preserve"> 2018.</w:t>
      </w:r>
      <w:r w:rsidR="00882665">
        <w:rPr>
          <w:rFonts w:ascii="Cambria" w:eastAsia="Times New Roman" w:hAnsi="Cambria" w:cs="Times New Roman"/>
          <w:b/>
          <w:lang w:val="sr-Cyrl-RS"/>
        </w:rPr>
        <w:t xml:space="preserve"> године</w:t>
      </w: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10010" w:rsidRPr="005E52D5" w:rsidRDefault="00B10010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B10010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Cambria" w:eastAsia="Times New Roman" w:hAnsi="Cambria" w:cs="Times New Roman"/>
          <w:b/>
          <w:sz w:val="24"/>
          <w:szCs w:val="24"/>
          <w:lang w:val="sr-Cyrl-RS"/>
        </w:rPr>
        <w:t>ОРГАНИЗАЦИЈА И ФИНАНСИРАЊЕ ЗДРАВСТВЕНЕ ЗАШТИТЕ</w:t>
      </w: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ru-RU"/>
        </w:rPr>
      </w:pPr>
    </w:p>
    <w:p w:rsidR="005E52D5" w:rsidRPr="004877C8" w:rsidRDefault="001B1095" w:rsidP="00986D73">
      <w:pPr>
        <w:spacing w:after="0" w:line="240" w:lineRule="auto"/>
        <w:jc w:val="right"/>
        <w:rPr>
          <w:rFonts w:ascii="Cambria" w:eastAsia="Times New Roman" w:hAnsi="Cambria" w:cs="Times New Roman"/>
          <w:b/>
          <w:lang w:val="ru-RU"/>
        </w:rPr>
      </w:pPr>
      <w:r w:rsidRPr="004877C8">
        <w:rPr>
          <w:rFonts w:ascii="Cambria" w:eastAsia="Times New Roman" w:hAnsi="Cambria" w:cs="Times New Roman"/>
          <w:b/>
          <w:lang w:val="ru-RU"/>
        </w:rPr>
        <w:t>ИСТРАЖИВАЊЕ ПРИПРЕМИЛА</w:t>
      </w:r>
      <w:r w:rsidR="005E52D5" w:rsidRPr="004877C8">
        <w:rPr>
          <w:rFonts w:ascii="Cambria" w:eastAsia="Times New Roman" w:hAnsi="Cambria" w:cs="Times New Roman"/>
          <w:b/>
          <w:lang w:val="ru-RU"/>
        </w:rPr>
        <w:t>:</w:t>
      </w:r>
    </w:p>
    <w:p w:rsidR="005E52D5" w:rsidRPr="004877C8" w:rsidRDefault="001B1095" w:rsidP="00986D73">
      <w:pPr>
        <w:spacing w:after="0" w:line="240" w:lineRule="auto"/>
        <w:jc w:val="center"/>
        <w:rPr>
          <w:rFonts w:ascii="Cambria" w:eastAsia="Times New Roman" w:hAnsi="Cambria" w:cs="Times New Roman"/>
          <w:b/>
          <w:lang w:val="ru-RU"/>
        </w:rPr>
      </w:pPr>
      <w:r w:rsidRPr="004877C8">
        <w:rPr>
          <w:rFonts w:ascii="Cambria" w:eastAsia="Times New Roman" w:hAnsi="Cambria" w:cs="Times New Roman"/>
          <w:b/>
          <w:lang w:val="ru-RU"/>
        </w:rPr>
        <w:t xml:space="preserve">                                                                                              </w:t>
      </w:r>
      <w:r w:rsidR="001E7B50">
        <w:rPr>
          <w:rFonts w:ascii="Cambria" w:eastAsia="Times New Roman" w:hAnsi="Cambria" w:cs="Times New Roman"/>
          <w:b/>
        </w:rPr>
        <w:t xml:space="preserve">                                                </w:t>
      </w:r>
      <w:r w:rsidRPr="004877C8">
        <w:rPr>
          <w:rFonts w:ascii="Cambria" w:eastAsia="Times New Roman" w:hAnsi="Cambria" w:cs="Times New Roman"/>
          <w:b/>
          <w:lang w:val="ru-RU"/>
        </w:rPr>
        <w:t>Невена Ракић</w:t>
      </w: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5C4ED6" w:rsidRDefault="005C4ED6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Pr="005C4ED6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1B1095" w:rsidRPr="00711C4E" w:rsidRDefault="001B1095" w:rsidP="00986D73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Latn-RS"/>
        </w:rPr>
      </w:pPr>
    </w:p>
    <w:p w:rsidR="00B10010" w:rsidRPr="00C504BA" w:rsidRDefault="005C4ED6" w:rsidP="0088266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  <w:lang w:val="sr-Cyrl-RS"/>
        </w:rPr>
      </w:pPr>
      <w:r w:rsidRPr="00711C4E">
        <w:rPr>
          <w:rFonts w:asciiTheme="majorHAnsi" w:hAnsiTheme="majorHAnsi"/>
          <w:b/>
          <w:sz w:val="20"/>
          <w:szCs w:val="20"/>
          <w:lang w:val="sr-Cyrl-RS"/>
        </w:rPr>
        <w:t xml:space="preserve">Истраживање не одражава званичан став </w:t>
      </w:r>
      <w:r w:rsidR="00AB3085">
        <w:rPr>
          <w:rFonts w:asciiTheme="majorHAnsi" w:hAnsiTheme="majorHAnsi"/>
          <w:b/>
          <w:sz w:val="20"/>
          <w:szCs w:val="20"/>
          <w:lang w:val="sr-Cyrl-RS"/>
        </w:rPr>
        <w:t>Народне с</w:t>
      </w:r>
      <w:r w:rsidRPr="00711C4E">
        <w:rPr>
          <w:rFonts w:asciiTheme="majorHAnsi" w:hAnsiTheme="majorHAnsi"/>
          <w:b/>
          <w:sz w:val="20"/>
          <w:szCs w:val="20"/>
          <w:lang w:val="sr-Cyrl-RS"/>
        </w:rPr>
        <w:t>купштине Републике Српске</w:t>
      </w:r>
    </w:p>
    <w:p w:rsidR="00B10010" w:rsidRDefault="00B10010" w:rsidP="00986D73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sdt>
      <w:sdtPr>
        <w:rPr>
          <w:rFonts w:ascii="Cambria" w:eastAsiaTheme="minorHAnsi" w:hAnsi="Cambria" w:cstheme="minorBidi"/>
          <w:b w:val="0"/>
          <w:bCs w:val="0"/>
          <w:color w:val="auto"/>
          <w:sz w:val="24"/>
          <w:szCs w:val="24"/>
          <w:lang w:eastAsia="en-US"/>
        </w:rPr>
        <w:id w:val="86888006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C504BA" w:rsidRPr="009F3CB0" w:rsidRDefault="00C504BA" w:rsidP="00995DA5">
          <w:pPr>
            <w:pStyle w:val="TOCHeading"/>
            <w:jc w:val="both"/>
            <w:rPr>
              <w:rFonts w:ascii="Cambria" w:hAnsi="Cambria"/>
              <w:color w:val="auto"/>
              <w:lang w:val="sr-Cyrl-RS"/>
            </w:rPr>
          </w:pPr>
          <w:r w:rsidRPr="009F3CB0">
            <w:rPr>
              <w:rFonts w:ascii="Cambria" w:hAnsi="Cambria"/>
              <w:color w:val="auto"/>
              <w:lang w:val="sr-Cyrl-RS"/>
            </w:rPr>
            <w:t xml:space="preserve">САДРЖАЈ </w:t>
          </w:r>
        </w:p>
        <w:p w:rsidR="00C504BA" w:rsidRPr="009F3CB0" w:rsidRDefault="00C504BA" w:rsidP="00995DA5">
          <w:pPr>
            <w:jc w:val="both"/>
            <w:rPr>
              <w:rFonts w:ascii="Cambria" w:hAnsi="Cambria"/>
              <w:sz w:val="24"/>
              <w:szCs w:val="24"/>
              <w:lang w:val="sr-Cyrl-RS" w:eastAsia="ja-JP"/>
            </w:rPr>
          </w:pPr>
        </w:p>
        <w:p w:rsidR="00C504BA" w:rsidRPr="009F3CB0" w:rsidRDefault="00C504BA" w:rsidP="00995DA5">
          <w:pPr>
            <w:spacing w:after="120" w:line="240" w:lineRule="auto"/>
            <w:jc w:val="both"/>
            <w:rPr>
              <w:rFonts w:ascii="Cambria" w:hAnsi="Cambria"/>
              <w:sz w:val="24"/>
              <w:szCs w:val="24"/>
              <w:lang w:val="sr-Cyrl-RS" w:eastAsia="ja-JP"/>
            </w:rPr>
          </w:pPr>
        </w:p>
        <w:p w:rsidR="009F3CB0" w:rsidRPr="009F3CB0" w:rsidRDefault="00C504BA">
          <w:pPr>
            <w:pStyle w:val="TOC1"/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r w:rsidRPr="009F3CB0">
            <w:rPr>
              <w:rFonts w:ascii="Cambria" w:hAnsi="Cambria"/>
              <w:sz w:val="24"/>
              <w:szCs w:val="24"/>
            </w:rPr>
            <w:fldChar w:fldCharType="begin"/>
          </w:r>
          <w:r w:rsidRPr="009F3CB0">
            <w:rPr>
              <w:rFonts w:ascii="Cambria" w:hAnsi="Cambria"/>
              <w:sz w:val="24"/>
              <w:szCs w:val="24"/>
            </w:rPr>
            <w:instrText xml:space="preserve"> TOC \o "1-3" \h \z \u </w:instrText>
          </w:r>
          <w:r w:rsidRPr="009F3CB0">
            <w:rPr>
              <w:rFonts w:ascii="Cambria" w:hAnsi="Cambria"/>
              <w:sz w:val="24"/>
              <w:szCs w:val="24"/>
            </w:rPr>
            <w:fldChar w:fldCharType="separate"/>
          </w:r>
          <w:hyperlink w:anchor="_Toc529357366" w:history="1">
            <w:r w:rsidR="009F3CB0" w:rsidRPr="009F3CB0">
              <w:rPr>
                <w:rStyle w:val="Hyperlink"/>
                <w:rFonts w:ascii="Cambria" w:hAnsi="Cambria"/>
                <w:noProof/>
                <w:sz w:val="24"/>
                <w:szCs w:val="24"/>
                <w:lang w:val="sr-Cyrl-RS"/>
              </w:rPr>
              <w:t>УВОД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_Toc529357366 \h </w:instrTex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>3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3CB0" w:rsidRPr="009F3CB0" w:rsidRDefault="00B77BF5">
          <w:pPr>
            <w:pStyle w:val="TOC1"/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29357367" w:history="1">
            <w:r w:rsidR="009F3CB0" w:rsidRPr="009F3CB0">
              <w:rPr>
                <w:rStyle w:val="Hyperlink"/>
                <w:rFonts w:ascii="Cambria" w:hAnsi="Cambria"/>
                <w:noProof/>
                <w:sz w:val="24"/>
                <w:szCs w:val="24"/>
                <w:lang w:val="sr-Cyrl-RS"/>
              </w:rPr>
              <w:t>РЕПУБЛИКА СРПСКА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_Toc529357367 \h </w:instrTex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>5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3CB0" w:rsidRPr="009F3CB0" w:rsidRDefault="00B77BF5">
          <w:pPr>
            <w:pStyle w:val="TOC1"/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29357368" w:history="1">
            <w:r w:rsidR="009F3CB0" w:rsidRPr="009F3CB0">
              <w:rPr>
                <w:rStyle w:val="Hyperlink"/>
                <w:rFonts w:ascii="Cambria" w:hAnsi="Cambria"/>
                <w:noProof/>
                <w:sz w:val="24"/>
                <w:szCs w:val="24"/>
                <w:lang w:val="sr-Cyrl-RS"/>
              </w:rPr>
              <w:t>САВЕЗНА РЕПУБЛИКА ЊЕМАЧКА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_Toc529357368 \h </w:instrTex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>8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3CB0" w:rsidRPr="009F3CB0" w:rsidRDefault="00B77BF5">
          <w:pPr>
            <w:pStyle w:val="TOC1"/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29357369" w:history="1">
            <w:r w:rsidR="009F3CB0" w:rsidRPr="009F3CB0">
              <w:rPr>
                <w:rStyle w:val="Hyperlink"/>
                <w:rFonts w:ascii="Cambria" w:hAnsi="Cambria"/>
                <w:noProof/>
                <w:sz w:val="24"/>
                <w:szCs w:val="24"/>
                <w:lang w:val="sr-Cyrl-RS"/>
              </w:rPr>
              <w:t>УЈЕДИЊЕНО КРАЉЕВСТВО ВЕЛИКЕ БРИТАНИЈЕ И СЈЕВЕРНЕ ИРСКЕ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_Toc529357369 \h </w:instrTex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>10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3CB0" w:rsidRPr="009F3CB0" w:rsidRDefault="00B77BF5">
          <w:pPr>
            <w:pStyle w:val="TOC1"/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29357370" w:history="1">
            <w:r w:rsidR="009F3CB0" w:rsidRPr="009F3CB0">
              <w:rPr>
                <w:rStyle w:val="Hyperlink"/>
                <w:rFonts w:ascii="Cambria" w:hAnsi="Cambria"/>
                <w:noProof/>
                <w:sz w:val="24"/>
                <w:szCs w:val="24"/>
                <w:lang w:val="sr-Cyrl-RS"/>
              </w:rPr>
              <w:t>СЈЕДИЊЕНЕ АМЕРИЧКЕ ДРЖАВЕ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_Toc529357370 \h </w:instrTex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>11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3CB0" w:rsidRPr="009F3CB0" w:rsidRDefault="00B77BF5">
          <w:pPr>
            <w:pStyle w:val="TOC1"/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29357371" w:history="1">
            <w:r w:rsidR="009F3CB0" w:rsidRPr="009F3CB0">
              <w:rPr>
                <w:rStyle w:val="Hyperlink"/>
                <w:rFonts w:ascii="Cambria" w:hAnsi="Cambria"/>
                <w:noProof/>
                <w:sz w:val="24"/>
                <w:szCs w:val="24"/>
                <w:lang w:val="sr-Cyrl-RS"/>
              </w:rPr>
              <w:t>ЗАКЉУЧАК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_Toc529357371 \h </w:instrTex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>13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F3CB0" w:rsidRDefault="00B77BF5">
          <w:pPr>
            <w:pStyle w:val="TOC1"/>
            <w:rPr>
              <w:rFonts w:eastAsiaTheme="minorEastAsia"/>
              <w:noProof/>
              <w:lang w:val="sr-Cyrl-BA" w:eastAsia="sr-Cyrl-BA"/>
            </w:rPr>
          </w:pPr>
          <w:hyperlink w:anchor="_Toc529357372" w:history="1">
            <w:r w:rsidR="009F3CB0" w:rsidRPr="009F3CB0">
              <w:rPr>
                <w:rStyle w:val="Hyperlink"/>
                <w:rFonts w:ascii="Cambria" w:hAnsi="Cambria"/>
                <w:noProof/>
                <w:sz w:val="24"/>
                <w:szCs w:val="24"/>
                <w:lang w:val="sr-Cyrl-RS"/>
              </w:rPr>
              <w:t>ИЗВОРИ</w:t>
            </w:r>
            <w:r w:rsidR="009F3CB0" w:rsidRPr="009F3CB0">
              <w:rPr>
                <w:rStyle w:val="Hyperlink"/>
                <w:rFonts w:ascii="Cambria" w:hAnsi="Cambria"/>
                <w:noProof/>
                <w:sz w:val="24"/>
                <w:szCs w:val="24"/>
              </w:rPr>
              <w:t xml:space="preserve"> </w:t>
            </w:r>
            <w:r w:rsidR="009F3CB0" w:rsidRPr="009F3CB0">
              <w:rPr>
                <w:rStyle w:val="Hyperlink"/>
                <w:rFonts w:ascii="Cambria" w:hAnsi="Cambria"/>
                <w:noProof/>
                <w:sz w:val="24"/>
                <w:szCs w:val="24"/>
                <w:lang w:val="sr-Cyrl-BA"/>
              </w:rPr>
              <w:t>ПОДАТАКА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_Toc529357372 \h </w:instrTex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t>14</w:t>
            </w:r>
            <w:r w:rsidR="009F3CB0" w:rsidRPr="009F3CB0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504BA" w:rsidRPr="009F3CB0" w:rsidRDefault="00C504BA" w:rsidP="00995DA5">
          <w:pPr>
            <w:spacing w:after="120" w:line="240" w:lineRule="auto"/>
            <w:jc w:val="both"/>
            <w:rPr>
              <w:rFonts w:ascii="Cambria" w:hAnsi="Cambria"/>
              <w:b/>
              <w:sz w:val="24"/>
              <w:szCs w:val="24"/>
            </w:rPr>
          </w:pPr>
          <w:r w:rsidRPr="009F3CB0">
            <w:rPr>
              <w:rFonts w:ascii="Cambria" w:hAnsi="Cambria"/>
              <w:bCs/>
              <w:noProof/>
              <w:sz w:val="24"/>
              <w:szCs w:val="24"/>
            </w:rPr>
            <w:fldChar w:fldCharType="end"/>
          </w:r>
        </w:p>
      </w:sdtContent>
    </w:sdt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10010" w:rsidRDefault="00B10010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F26279" w:rsidRDefault="00F26279" w:rsidP="00995DA5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C504BA" w:rsidRDefault="00C504BA" w:rsidP="00995DA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sr-Cyrl-RS"/>
        </w:rPr>
      </w:pPr>
    </w:p>
    <w:p w:rsidR="00C504BA" w:rsidRDefault="00C504BA" w:rsidP="00995DA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sr-Cyrl-RS"/>
        </w:rPr>
      </w:pPr>
    </w:p>
    <w:p w:rsidR="00C504BA" w:rsidRDefault="00C504BA" w:rsidP="00995DA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sr-Cyrl-RS"/>
        </w:rPr>
      </w:pPr>
    </w:p>
    <w:p w:rsidR="00C504BA" w:rsidRDefault="00C504BA" w:rsidP="00995DA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sr-Cyrl-RS"/>
        </w:rPr>
      </w:pPr>
    </w:p>
    <w:p w:rsidR="00C504BA" w:rsidRDefault="00C504BA" w:rsidP="00995DA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sr-Cyrl-RS"/>
        </w:rPr>
      </w:pPr>
    </w:p>
    <w:p w:rsidR="00B10010" w:rsidRPr="00C504BA" w:rsidRDefault="00B10010" w:rsidP="00995DA5">
      <w:pPr>
        <w:pStyle w:val="Heading1"/>
        <w:spacing w:line="240" w:lineRule="auto"/>
        <w:jc w:val="both"/>
        <w:rPr>
          <w:color w:val="000000" w:themeColor="text1"/>
        </w:rPr>
      </w:pPr>
      <w:bookmarkStart w:id="1" w:name="_Toc517343909"/>
      <w:bookmarkStart w:id="2" w:name="_Toc529357366"/>
      <w:r w:rsidRPr="00C504BA">
        <w:rPr>
          <w:color w:val="000000" w:themeColor="text1"/>
          <w:lang w:val="sr-Cyrl-RS"/>
        </w:rPr>
        <w:lastRenderedPageBreak/>
        <w:t>УВОД</w:t>
      </w:r>
      <w:bookmarkEnd w:id="1"/>
      <w:bookmarkEnd w:id="2"/>
    </w:p>
    <w:p w:rsidR="0059198A" w:rsidRPr="00C504BA" w:rsidRDefault="0059198A" w:rsidP="00995DA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  <w:lang w:val="sr-Cyrl-RS"/>
        </w:rPr>
      </w:pPr>
    </w:p>
    <w:p w:rsidR="00BD488B" w:rsidRPr="00C504BA" w:rsidRDefault="00BD488B" w:rsidP="00995DA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  <w:lang w:val="sr-Cyrl-RS"/>
        </w:rPr>
      </w:pPr>
    </w:p>
    <w:p w:rsidR="00263C96" w:rsidRPr="00C504BA" w:rsidRDefault="007F5808" w:rsidP="00995DA5">
      <w:pPr>
        <w:spacing w:after="0" w:line="240" w:lineRule="auto"/>
        <w:ind w:firstLine="720"/>
        <w:jc w:val="both"/>
        <w:rPr>
          <w:rFonts w:asciiTheme="majorHAnsi" w:hAnsiTheme="majorHAnsi"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За свако друштво </w:t>
      </w:r>
      <w:r w:rsidR="0059198A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здравље </w:t>
      </w:r>
      <w:r w:rsidR="001A0DB1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представља приоритет свих становника и из тог </w:t>
      </w:r>
      <w:r w:rsidR="00FD21C0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разлога се много пажње посвећује унапређивању организац</w:t>
      </w:r>
      <w:r w:rsidR="001A0DB1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ије </w:t>
      </w:r>
      <w:r w:rsidR="00263C96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и финансирања здравствене заштите. Циљ сваке државе јесте зд</w:t>
      </w:r>
      <w:r w:rsidR="00D540D6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раво и продуктивно становништво и због тога се доноси низ закона, правилника, стратегија за развој здравс</w:t>
      </w:r>
      <w:r w:rsidR="00D83E27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твене заштите, програма,</w:t>
      </w:r>
      <w:r w:rsidR="00D83E27" w:rsidRPr="00C504BA"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  <w:r w:rsidR="00D83E27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реализују се пројекти</w:t>
      </w:r>
      <w:r w:rsidR="00D540D6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 за увођење стандарда сигурности и кв</w:t>
      </w:r>
      <w:r w:rsidR="00D83E27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алитета у здравствене установе и спречавање фактора здравствених ризика.</w:t>
      </w:r>
    </w:p>
    <w:p w:rsidR="00F604CC" w:rsidRDefault="00F604CC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Здравље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треба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посматрати и као економски потенцијал и као дио људског капитала, те као средство повећања продуктивности и с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мањења јавних трошкова лијечења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. 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драво становништво ради боље и производи више и тако утиче на развој цјелокупног друштва једне земље.</w:t>
      </w:r>
    </w:p>
    <w:p w:rsidR="002975C6" w:rsidRDefault="002975C6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Појам здравствене заштите је веома широко дефинисан и као такав је занимљив за проучавање. </w:t>
      </w:r>
    </w:p>
    <w:p w:rsidR="00600FC3" w:rsidRPr="00C504BA" w:rsidRDefault="00600FC3" w:rsidP="00995DA5">
      <w:pPr>
        <w:spacing w:after="0" w:line="240" w:lineRule="auto"/>
        <w:ind w:firstLine="720"/>
        <w:jc w:val="both"/>
        <w:rPr>
          <w:rFonts w:asciiTheme="majorHAnsi" w:hAnsiTheme="majorHAnsi"/>
          <w:color w:val="000000" w:themeColor="text1"/>
          <w:sz w:val="24"/>
          <w:szCs w:val="24"/>
          <w:lang w:val="sr-Cyrl-C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Здравствена заштита представља комбинацију личне и колективне одговорности за здравље, јавне (државне) одговорности за обезбјеђива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ње јавно-здравствених функција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које укључују са једне стране државни и приватни сектор, а са друге стране добротворне и хуманитарне организације за предузимање акције у заједници. У том сложеном систему издвајају се компонентне као што су ресурси (кадровски и материјални), финансирање, организација, администрација, управљање</w:t>
      </w:r>
      <w:r w:rsidR="00B17B9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и пружање здравствених услуга</w:t>
      </w:r>
      <w:r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footnoteReference w:id="1"/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.</w:t>
      </w:r>
    </w:p>
    <w:p w:rsidR="00ED2DB9" w:rsidRPr="00C504BA" w:rsidRDefault="00600FC3" w:rsidP="00995DA5">
      <w:pPr>
        <w:spacing w:after="0" w:line="240" w:lineRule="auto"/>
        <w:ind w:firstLine="720"/>
        <w:jc w:val="both"/>
        <w:rPr>
          <w:rFonts w:asciiTheme="majorHAnsi" w:hAnsiTheme="majorHAnsi"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color w:val="000000" w:themeColor="text1"/>
          <w:sz w:val="24"/>
          <w:szCs w:val="24"/>
          <w:lang w:val="sr-Cyrl-RS"/>
        </w:rPr>
        <w:t>Такође, з</w:t>
      </w:r>
      <w:r w:rsidR="0059198A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дравствена заштита представља скуп услуга и активности за унапређивање и очување здравља људи</w:t>
      </w:r>
      <w:r w:rsidR="00BD488B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, спречавање обољења и повреда</w:t>
      </w:r>
      <w:r w:rsidR="00BD488B" w:rsidRPr="00C504BA"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  <w:r w:rsidR="00BD488B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и врши оспособљавање за животне и радне функције послије болести</w:t>
      </w:r>
      <w:r w:rsidR="00F82D0B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 и</w:t>
      </w:r>
      <w:r w:rsidR="00BD488B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 повреда. </w:t>
      </w:r>
    </w:p>
    <w:p w:rsidR="00ED2DB9" w:rsidRPr="00C504BA" w:rsidRDefault="00ED2DB9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Квалитетна здравствена заштита подразумијева степен у к</w:t>
      </w:r>
      <w:r w:rsidR="00882665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ојем систем здравствене заштите издравствене услуге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882665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повећавају вјероватноћ позитивног исхода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лијечењ</w:t>
      </w:r>
      <w:r w:rsidR="006D5CD5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а. Потребно је да даваоци здравствене заштите обезбиједе ресурсе и испоштују процесе пружања здравствене заштите да би повећали вјероватноћу побољшања здравственог стања и коначног</w:t>
      </w:r>
      <w:r w:rsidR="006D5CD5" w:rsidRPr="00882665">
        <w:rPr>
          <w:rFonts w:asciiTheme="majorHAnsi" w:hAnsiTheme="majorHAnsi"/>
          <w:noProof/>
          <w:color w:val="FF0000"/>
          <w:sz w:val="24"/>
          <w:szCs w:val="24"/>
          <w:lang w:val="sr-Cyrl-CS"/>
        </w:rPr>
        <w:t xml:space="preserve"> </w:t>
      </w:r>
      <w:r w:rsidR="006D5CD5" w:rsidRPr="00882665">
        <w:rPr>
          <w:rFonts w:asciiTheme="majorHAnsi" w:hAnsiTheme="majorHAnsi"/>
          <w:noProof/>
          <w:sz w:val="24"/>
          <w:szCs w:val="24"/>
          <w:lang w:val="sr-Cyrl-CS"/>
        </w:rPr>
        <w:t>из</w:t>
      </w:r>
      <w:r w:rsidR="00882665" w:rsidRPr="00882665">
        <w:rPr>
          <w:rFonts w:asciiTheme="majorHAnsi" w:hAnsiTheme="majorHAnsi"/>
          <w:noProof/>
          <w:sz w:val="24"/>
          <w:szCs w:val="24"/>
          <w:lang w:val="sr-Cyrl-CS"/>
        </w:rPr>
        <w:t>ље</w:t>
      </w:r>
      <w:r w:rsidR="006D5CD5" w:rsidRPr="00882665">
        <w:rPr>
          <w:rFonts w:asciiTheme="majorHAnsi" w:hAnsiTheme="majorHAnsi"/>
          <w:noProof/>
          <w:sz w:val="24"/>
          <w:szCs w:val="24"/>
          <w:lang w:val="sr-Cyrl-CS"/>
        </w:rPr>
        <w:t>чења</w:t>
      </w:r>
      <w:r w:rsidR="006D5CD5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. </w:t>
      </w:r>
    </w:p>
    <w:p w:rsidR="00D85E24" w:rsidRPr="00C504BA" w:rsidRDefault="00D85E2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Побољшање квалитета здравствене заштите у већини земаља има главну улогу у реформи здравствених система и пружања услуга. Све земље суочавају се с изазовима да у оквиру расположивих ресурса осигурају приступ, правичност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, сигурност и учешће пацијената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и да развијају вјештине и технологију како би постигле што боље резултате.</w:t>
      </w:r>
    </w:p>
    <w:p w:rsidR="00BD488B" w:rsidRPr="00C504BA" w:rsidRDefault="00BD488B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Основни циљ здравствене заштите јесте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промоција, односно унапређење з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дравља, превенција 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односно спр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ечавање болести, откривање болести, 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ефикасно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лијечење и рехабилитација. </w:t>
      </w:r>
    </w:p>
    <w:p w:rsidR="00395636" w:rsidRPr="00C504BA" w:rsidRDefault="00FD21C0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У већини земаљ</w:t>
      </w:r>
      <w:r w:rsidR="00CE421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а з</w:t>
      </w:r>
      <w:r w:rsidR="00497667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дравствена </w:t>
      </w:r>
      <w:r w:rsidR="00360E7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заштита је </w:t>
      </w:r>
      <w:r w:rsidR="0039563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организовна </w:t>
      </w:r>
      <w:r w:rsidR="00360E7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на примарном, с</w:t>
      </w:r>
      <w:r w:rsidR="00F4307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екундарном и терцијарном нивоу.</w:t>
      </w:r>
      <w:r w:rsidR="00F4307F"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</w:t>
      </w:r>
      <w:r w:rsidR="00915AF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На сваком од тих нивоа постоје различити типови здравствених установа. </w:t>
      </w:r>
    </w:p>
    <w:p w:rsidR="00F4307F" w:rsidRPr="00C504BA" w:rsidRDefault="00F4307F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>O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сновна претпоставка за функционисање система здравствене заштите јесте обезбјеђ</w:t>
      </w:r>
      <w:r w:rsidR="0088266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ивање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финансијских средстава за његов рад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,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као и добро и квалитетно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lastRenderedPageBreak/>
        <w:t xml:space="preserve">управљање финансијама. </w:t>
      </w:r>
      <w:r w:rsidR="006B4A03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 здравственим установама је потребно процијенити реалне приходе из различитих извора финансирања, као и расходе које ће установа остварити. При управљању финансијама најбитније је постићи равнотежу између прихода и расхода</w:t>
      </w:r>
      <w:r w:rsidR="006B5D8A" w:rsidRPr="00C504BA"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</w:rPr>
        <w:footnoteReference w:id="2"/>
      </w:r>
      <w:r w:rsidR="00972410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</w:t>
      </w:r>
    </w:p>
    <w:p w:rsidR="00767BE6" w:rsidRPr="00C504BA" w:rsidRDefault="00767BE6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 свијету постоји </w:t>
      </w:r>
      <w:r w:rsidR="00527D9D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пет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основних извора финансирања здравствене заш</w:t>
      </w:r>
      <w:r w:rsidR="00BA6B03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тите у здравственим установамa: финансирање из буџета, финансирање од уплаћеног об</w:t>
      </w:r>
      <w:r w:rsidR="0064513C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авезног здравственог осигурања, </w:t>
      </w:r>
      <w:r w:rsidR="00BA6B03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финансирање из средстава заједнице, финансирање из средстава која директно здравственим установама уплаћују корисници здравствених услуга 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и финансирање од донација, страних и домаћих.</w:t>
      </w:r>
    </w:p>
    <w:p w:rsidR="00E55F44" w:rsidRPr="00C504BA" w:rsidRDefault="00E55F4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Најпознатији облици организације и финансирања здравствене заштите су Бевериџов модел фи</w:t>
      </w:r>
      <w:r w:rsidR="005A35C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нансирања здравственог система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и Бизмарков модел финансирања здравственог система.</w:t>
      </w:r>
      <w:r w:rsidR="00580E30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</w:p>
    <w:p w:rsidR="00375095" w:rsidRPr="00C504BA" w:rsidRDefault="00E55F4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Бевериџов модел или модел националне здравствене службе јесте модел у ко</w:t>
      </w:r>
      <w:r w:rsidR="005A35CE"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>je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м доступност здравствених услуга и њихово финансијско покриће обезбјеђује држава. </w:t>
      </w:r>
      <w:r w:rsidR="005A35C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Држава оснива, односно обезбјеђује болнице и љекаре и финансира њихов рад. </w:t>
      </w:r>
    </w:p>
    <w:p w:rsidR="00380F2E" w:rsidRDefault="00380F2E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Бизмарков модел односно модел </w:t>
      </w:r>
      <w:r w:rsidR="0014359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социјалног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здравственог осигурања</w:t>
      </w:r>
      <w:r w:rsidR="00E46A2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темељи се </w:t>
      </w:r>
      <w:r w:rsidR="0014359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на принципу непрофитности и </w:t>
      </w:r>
      <w:r w:rsidR="00580E30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солидарности </w:t>
      </w:r>
      <w:r w:rsidR="00E46A2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међу свим осиг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</w:t>
      </w:r>
      <w:r w:rsidR="00E46A2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раним лицима и њиховом организовању у посебним организацијама као што су фондови, заводи и агенције. Те организације својим корисницима обезбјеђују остваривање права на здравствену заштиту. </w:t>
      </w:r>
    </w:p>
    <w:p w:rsidR="003D5CB1" w:rsidRPr="00A96102" w:rsidRDefault="00B17B92" w:rsidP="003D5CB1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Важну улогу </w:t>
      </w:r>
      <w:r w:rsidR="00A9610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 здра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вственом систему свих земаља има </w:t>
      </w:r>
      <w:r w:rsidR="00A9610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здравствени м</w:t>
      </w:r>
      <w:r w:rsidR="00527D9D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енаџмент</w:t>
      </w:r>
      <w:r w:rsidR="00A9610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који представља збир свих предузетих мјера да се планирају, организују и примјењују многи елементи у здравственом систем</w:t>
      </w:r>
      <w:r w:rsidR="00527D9D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у. Ове мјере су потребне да би </w:t>
      </w:r>
      <w:r w:rsidR="00A9610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се здравствена политика спровела</w:t>
      </w:r>
      <w:r w:rsidR="003D5CB1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у стратегије, стретегије претвориле у планове о примјени најбољих здравствених програма</w:t>
      </w:r>
      <w:r w:rsidR="003D5CB1"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footnoteReference w:id="3"/>
      </w:r>
      <w:r w:rsidR="003D5CB1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 Циљ здравствног менаџмента јесте да избалансира и задовољи интересе свих учесника у здравственом систему, односно здравственој организацији. Здравствено руковођење треба да покрива цијели процес планирања, организације и контроле рада здравствених програма, да врши координацију ресурса (новца, фондова, опреме)</w:t>
      </w:r>
      <w:r w:rsidR="00600FC3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, </w:t>
      </w:r>
      <w:r w:rsidR="003D5CB1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прати развој и примјену здравствених програма</w:t>
      </w:r>
      <w:r w:rsidR="00600FC3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и ради на постизањ</w:t>
      </w:r>
      <w:r w:rsidR="003D5CB1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 постављених циљева </w:t>
      </w:r>
      <w:r w:rsidR="00600FC3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како би се побољшало здравствено стање читаве популације.</w:t>
      </w:r>
    </w:p>
    <w:p w:rsidR="00E46A28" w:rsidRDefault="00972410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Циљ истраживања јесте да </w:t>
      </w:r>
      <w:r w:rsidR="00580E30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прикаже начин организовања и финансирања здравствене заштите, како у Републици Српској и земљама региона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="00580E30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тако и у европским земљама и земљама свијета. Такође, битно је да се упореде начини финансирања здравствене заштите, да се п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окажу </w:t>
      </w:r>
      <w:r w:rsidR="00580E30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њихове предности и мане и да на тај начин саставимо слику о томе како изгледа здравствена заштита данас и који су начини за побољшање организације здравствене заштите. </w:t>
      </w:r>
    </w:p>
    <w:p w:rsidR="001A0DB1" w:rsidRDefault="001A0DB1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1A0DB1" w:rsidRDefault="001A0DB1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1A0DB1" w:rsidRDefault="001A0DB1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1A0DB1" w:rsidRDefault="001A0DB1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1A0DB1" w:rsidRDefault="001A0DB1" w:rsidP="00637537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F82D0B" w:rsidRPr="00C504BA" w:rsidRDefault="00C9179C" w:rsidP="00995DA5">
      <w:pPr>
        <w:pStyle w:val="Heading1"/>
        <w:spacing w:line="240" w:lineRule="auto"/>
        <w:jc w:val="both"/>
        <w:rPr>
          <w:color w:val="000000" w:themeColor="text1"/>
          <w:lang w:val="sr-Cyrl-RS"/>
        </w:rPr>
      </w:pPr>
      <w:bookmarkStart w:id="3" w:name="_Toc517343910"/>
      <w:bookmarkStart w:id="4" w:name="_Toc529357367"/>
      <w:r w:rsidRPr="00C504BA">
        <w:rPr>
          <w:color w:val="000000" w:themeColor="text1"/>
          <w:lang w:val="sr-Cyrl-RS"/>
        </w:rPr>
        <w:lastRenderedPageBreak/>
        <w:t>РЕПУБЛИКА СРПСКА</w:t>
      </w:r>
      <w:bookmarkEnd w:id="3"/>
      <w:bookmarkEnd w:id="4"/>
      <w:r w:rsidRPr="00C504BA">
        <w:rPr>
          <w:color w:val="000000" w:themeColor="text1"/>
          <w:lang w:val="sr-Cyrl-RS"/>
        </w:rPr>
        <w:t xml:space="preserve"> </w:t>
      </w:r>
    </w:p>
    <w:p w:rsidR="007B1299" w:rsidRDefault="007B1299" w:rsidP="007B1299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  <w:lang w:val="sr-Cyrl-RS"/>
        </w:rPr>
      </w:pPr>
    </w:p>
    <w:p w:rsidR="007B1299" w:rsidRPr="007B1299" w:rsidRDefault="007B1299" w:rsidP="007B1299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  <w:lang w:val="sr-Cyrl-RS"/>
        </w:rPr>
      </w:pPr>
    </w:p>
    <w:p w:rsidR="007B1299" w:rsidRDefault="007B1299" w:rsidP="007B1299">
      <w:pPr>
        <w:spacing w:after="0" w:line="240" w:lineRule="auto"/>
        <w:ind w:firstLine="720"/>
        <w:jc w:val="both"/>
        <w:rPr>
          <w:rFonts w:asciiTheme="majorHAnsi" w:hAnsiTheme="majorHAnsi"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O</w:t>
      </w:r>
      <w:r>
        <w:rPr>
          <w:rFonts w:asciiTheme="majorHAnsi" w:hAnsiTheme="majorHAnsi"/>
          <w:color w:val="000000" w:themeColor="text1"/>
          <w:sz w:val="24"/>
          <w:szCs w:val="24"/>
          <w:lang w:val="sr-Cyrl-RS"/>
        </w:rPr>
        <w:t>бласт здравст</w:t>
      </w:r>
      <w:r w:rsidR="007F5808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ва је према уставним рјешењима </w:t>
      </w:r>
      <w:r>
        <w:rPr>
          <w:rFonts w:asciiTheme="majorHAnsi" w:hAnsiTheme="majorHAnsi"/>
          <w:color w:val="000000" w:themeColor="text1"/>
          <w:sz w:val="24"/>
          <w:szCs w:val="24"/>
          <w:lang w:val="sr-Cyrl-RS"/>
        </w:rPr>
        <w:t>у надлежности ентитета (Република Српска), под</w:t>
      </w:r>
      <w:r w:rsidR="00E244FC">
        <w:rPr>
          <w:rFonts w:asciiTheme="majorHAnsi" w:hAnsiTheme="majorHAnsi"/>
          <w:color w:val="000000" w:themeColor="text1"/>
          <w:sz w:val="24"/>
          <w:szCs w:val="24"/>
          <w:lang w:val="sr-Cyrl-RS"/>
        </w:rPr>
        <w:t>и</w:t>
      </w:r>
      <w:r>
        <w:rPr>
          <w:rFonts w:asciiTheme="majorHAnsi" w:hAnsiTheme="majorHAnsi"/>
          <w:color w:val="000000" w:themeColor="text1"/>
          <w:sz w:val="24"/>
          <w:szCs w:val="24"/>
          <w:lang w:val="sr-Cyrl-RS"/>
        </w:rPr>
        <w:t>јељеној надлежности ентитета и кантона (Федерација БиХ</w:t>
      </w:r>
      <w:r w:rsidR="00527D9D">
        <w:rPr>
          <w:rFonts w:asciiTheme="majorHAnsi" w:hAnsiTheme="majorHAnsi"/>
          <w:color w:val="000000" w:themeColor="text1"/>
          <w:sz w:val="24"/>
          <w:szCs w:val="24"/>
          <w:lang w:val="sr-Cyrl-RS"/>
        </w:rPr>
        <w:t>), односно у надлежности Брчко Д</w:t>
      </w:r>
      <w:r>
        <w:rPr>
          <w:rFonts w:asciiTheme="majorHAnsi" w:hAnsiTheme="majorHAnsi"/>
          <w:color w:val="000000" w:themeColor="text1"/>
          <w:sz w:val="24"/>
          <w:szCs w:val="24"/>
          <w:lang w:val="sr-Cyrl-RS"/>
        </w:rPr>
        <w:t>истрикта БиХ.</w:t>
      </w:r>
    </w:p>
    <w:p w:rsidR="00622AFD" w:rsidRPr="00C504BA" w:rsidRDefault="00F82D0B" w:rsidP="007B1299">
      <w:pPr>
        <w:spacing w:after="0" w:line="240" w:lineRule="auto"/>
        <w:ind w:firstLine="720"/>
        <w:jc w:val="both"/>
        <w:rPr>
          <w:rFonts w:asciiTheme="majorHAnsi" w:hAnsiTheme="majorHAnsi"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Право на здрављ</w:t>
      </w:r>
      <w:r w:rsidR="00910182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е и здравствену заштиту дефинисано је </w:t>
      </w:r>
      <w:r w:rsidR="00837883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у Уставу Републике Српске</w:t>
      </w:r>
      <w:r w:rsidR="00837883" w:rsidRPr="00C504BA">
        <w:rPr>
          <w:rStyle w:val="FootnoteReference"/>
          <w:rFonts w:asciiTheme="majorHAnsi" w:hAnsiTheme="majorHAnsi"/>
          <w:color w:val="000000" w:themeColor="text1"/>
          <w:sz w:val="24"/>
          <w:szCs w:val="24"/>
          <w:lang w:val="sr-Cyrl-RS"/>
        </w:rPr>
        <w:footnoteReference w:id="4"/>
      </w:r>
      <w:r w:rsidR="00837883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 </w:t>
      </w:r>
      <w:r w:rsidR="001A0DB1">
        <w:rPr>
          <w:rFonts w:asciiTheme="majorHAnsi" w:hAnsiTheme="majorHAnsi"/>
          <w:color w:val="000000" w:themeColor="text1"/>
          <w:sz w:val="24"/>
          <w:szCs w:val="24"/>
          <w:lang w:val="sr-Cyrl-RS"/>
        </w:rPr>
        <w:t>као основно људско право</w:t>
      </w:r>
      <w:r w:rsidR="00E00FC7" w:rsidRPr="00C504BA"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  <w:r w:rsidR="00B97F6C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>и провод</w:t>
      </w:r>
      <w:r w:rsidR="00910182">
        <w:rPr>
          <w:rFonts w:asciiTheme="majorHAnsi" w:hAnsiTheme="majorHAnsi"/>
          <w:color w:val="000000" w:themeColor="text1"/>
          <w:sz w:val="24"/>
          <w:szCs w:val="24"/>
          <w:lang w:val="sr-Cyrl-RS"/>
        </w:rPr>
        <w:t>и</w:t>
      </w:r>
      <w:r w:rsidR="00E00FC7" w:rsidRPr="00C504BA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 се на начелима једнакости, доступности, свеобухватности, континуитета и координације.</w:t>
      </w:r>
    </w:p>
    <w:p w:rsidR="004B5C48" w:rsidRPr="00C504BA" w:rsidRDefault="00910182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Ова права</w:t>
      </w:r>
      <w:r w:rsidR="0039563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претпоставља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ју</w:t>
      </w:r>
      <w:r w:rsidR="0039563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да сви расположиви ресурси друштва буду искориштени у обезбјеђивању доступне, ефикасне и</w:t>
      </w:r>
      <w:r w:rsidR="00527D9D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квалитетне здравствене заштите</w:t>
      </w:r>
      <w:r w:rsidR="0039563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која одговара потребама грађана Републике Српске</w:t>
      </w:r>
      <w:r w:rsidR="009029BD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.</w:t>
      </w:r>
    </w:p>
    <w:p w:rsidR="005C00DB" w:rsidRPr="00C504BA" w:rsidRDefault="005C00DB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Здравствена дјелатност је дјелатност од општег интереса за Републику Српску 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која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се обавља у јавним и приватним здравственим установама.</w:t>
      </w:r>
    </w:p>
    <w:p w:rsidR="004B5C48" w:rsidRPr="00C504BA" w:rsidRDefault="00B176C4" w:rsidP="00995DA5">
      <w:pPr>
        <w:spacing w:after="0" w:line="240" w:lineRule="auto"/>
        <w:ind w:firstLine="720"/>
        <w:jc w:val="both"/>
        <w:rPr>
          <w:rFonts w:asciiTheme="majorHAnsi" w:hAnsiTheme="majorHAnsi"/>
          <w:b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Сва осигурана лица имају једнак</w:t>
      </w:r>
      <w:r w:rsidR="00527D9D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а права на здравствену заштиту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и дијеле се на </w:t>
      </w:r>
      <w:r w:rsidR="00222F1D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осигуранике, чланове породице осигураника, лица која су осигурана само за случај професионалне болести или повреде на раду и стране држављане који су осигурани на основу потписаних међудржавних споразума о социјалном осигрању</w:t>
      </w:r>
      <w:r w:rsidR="004B5C48" w:rsidRPr="00C504BA"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footnoteReference w:id="5"/>
      </w:r>
      <w:r w:rsidR="00222F1D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. </w:t>
      </w:r>
    </w:p>
    <w:p w:rsidR="00B176C4" w:rsidRPr="00C504BA" w:rsidRDefault="00B176C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Систем обавезног здравственог осигурања у Републици Српској организован је на начелима солидарности, узајмности и једнакости. </w:t>
      </w:r>
    </w:p>
    <w:p w:rsidR="006B5D8A" w:rsidRPr="00C504BA" w:rsidRDefault="00622AFD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У Републици Српској здравствена заштита је организов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на на примарном, секундарном и терцијарном нивоу.</w:t>
      </w:r>
      <w:r w:rsidR="00222F1D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</w:p>
    <w:p w:rsidR="00622AFD" w:rsidRPr="00C504BA" w:rsidRDefault="006B5D8A" w:rsidP="00995DA5">
      <w:pPr>
        <w:spacing w:after="0" w:line="240" w:lineRule="auto"/>
        <w:ind w:firstLine="720"/>
        <w:jc w:val="both"/>
        <w:rPr>
          <w:rFonts w:asciiTheme="majorHAnsi" w:hAnsiTheme="majorHAnsi"/>
          <w:b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</w:t>
      </w:r>
      <w:r w:rsidR="00622AFD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римарна заштита се обезбјеђује путем амбуланти породичне медицине, стоматолошких амбуланти, домова здравља, домова за здравствену његу и апотека. Секундарна здравствена заштита се обезбјеђује п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утем специјалистичких амбуланти, а </w:t>
      </w:r>
      <w:r w:rsidR="00622AFD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терцијарни ниво </w:t>
      </w:r>
      <w:r w:rsidR="00D7106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здравствене заштите обезбјеђује </w:t>
      </w:r>
      <w:r w:rsidR="00622AFD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високоспецијализовану здравствену заш</w:t>
      </w:r>
      <w:r w:rsidR="00C85CA5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титу</w:t>
      </w:r>
      <w:r w:rsidR="00622AFD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која се не обезбјеђује на нивоу секундарне здравствене заштите</w:t>
      </w:r>
      <w:r w:rsidR="004B5C48" w:rsidRPr="00C504BA"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footnoteReference w:id="6"/>
      </w:r>
      <w:r w:rsidR="004B5C4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.</w:t>
      </w:r>
    </w:p>
    <w:p w:rsidR="005C00DB" w:rsidRDefault="005C00DB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Здра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вствена заштита се обезбјеђује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на нивоу Републике, јединиц</w:t>
      </w:r>
      <w:r w:rsidR="00BB31C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е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локалне самоуправе и послода</w:t>
      </w:r>
      <w:r w:rsidR="00BB31C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в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ца. </w:t>
      </w:r>
    </w:p>
    <w:p w:rsidR="00B01D1B" w:rsidRPr="009029BD" w:rsidRDefault="00DC0375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Локална самоуправа у бу</w:t>
      </w:r>
      <w:r w:rsidR="009029BD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џету обезбјеђује додатна средства за остваривање здравствене заштите.</w:t>
      </w:r>
      <w:r w:rsidR="009029BD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Осигуравање </w:t>
      </w:r>
      <w:r w:rsidR="00B01D1B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здравствене заштите на нивоу локалне самоуправе обухвата активности од интереса за грађане на територији те локалне самоуправе. Локална</w:t>
      </w:r>
      <w:r w:rsidR="009029BD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самоуправа оснива дом здравља, амбуланте за лијечење и </w:t>
      </w:r>
      <w:r w:rsidR="0003698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амбуланте породичне медицине.</w:t>
      </w:r>
      <w:r w:rsidR="009029BD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</w:p>
    <w:p w:rsidR="00B01D1B" w:rsidRPr="00C504BA" w:rsidRDefault="009029BD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Република оснива болнице, специјалне болнице</w:t>
      </w:r>
      <w:r w:rsidR="00B01D1B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и клинички центар.</w:t>
      </w:r>
    </w:p>
    <w:p w:rsidR="00C07263" w:rsidRPr="00C504BA" w:rsidRDefault="009029BD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Такође, правно и </w:t>
      </w:r>
      <w:r w:rsidR="00C07263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физичко лице може основати приватну здравствену установу. </w:t>
      </w:r>
    </w:p>
    <w:p w:rsidR="009C28F0" w:rsidRPr="00C504BA" w:rsidRDefault="00186583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 Републици Српској по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стоје четири ванбуџетска фонда која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се финансирају путем доприноса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,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а то су Фонд здравственог осигурања, Фонд за пензијско и инвалидско осигурање, Јавни фонд</w:t>
      </w:r>
      <w:r w:rsidR="0091018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за дјечију заштиту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и Завод за запошљавање. </w:t>
      </w:r>
    </w:p>
    <w:p w:rsidR="00995912" w:rsidRPr="00C504BA" w:rsidRDefault="00995912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lastRenderedPageBreak/>
        <w:t>Средства прикупљена напла</w:t>
      </w:r>
      <w:r w:rsidR="009029BD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том доприноса су одвојена од осталих буџетских прихода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(као што су порез на додатну вриједност, акцизе,</w:t>
      </w:r>
      <w:r w:rsidR="00C85CA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таксе).</w:t>
      </w:r>
    </w:p>
    <w:p w:rsidR="00995912" w:rsidRPr="00C504BA" w:rsidRDefault="00995912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Ук</w:t>
      </w:r>
      <w:r w:rsidR="00C85CA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упна стопа доприноса износи 33%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од којих је 12% намијењено за обавезно здравствено осигурање. </w:t>
      </w:r>
    </w:p>
    <w:p w:rsidR="00995912" w:rsidRPr="00C504BA" w:rsidRDefault="00995912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Висина доприноса се разликује за различите врсте обвезника доприноса, што је прецизније дефинисано законом</w:t>
      </w:r>
      <w:r w:rsidRPr="00C504BA"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footnoteReference w:id="7"/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</w:t>
      </w:r>
    </w:p>
    <w:p w:rsidR="00A05516" w:rsidRPr="00C504BA" w:rsidRDefault="00BE3B4E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Обавезно </w:t>
      </w:r>
      <w:r w:rsidR="006B5D8A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здравствено 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осигурање покрива</w:t>
      </w:r>
      <w:r w:rsidR="00F064F0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Фонд здравстве</w:t>
      </w:r>
      <w:r w:rsidR="00B97F6C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ног осигурања Републике Српске</w:t>
      </w:r>
      <w:r w:rsidR="00B97F6C"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>.</w:t>
      </w:r>
      <w:r w:rsidR="00A0551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Фонд је јавна инс</w:t>
      </w:r>
      <w:r w:rsidR="009029BD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титуција која обавља дјелатност здравственог </w:t>
      </w:r>
      <w:r w:rsidR="00A0551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осигурања</w:t>
      </w:r>
      <w:r w:rsidR="008244A2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 У оквиру дјел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атности за коју је регистрован</w:t>
      </w:r>
      <w:r w:rsidR="00C85CA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,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="008244A2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Фонд обезбјеђује рационално коришћење ср</w:t>
      </w:r>
      <w:r w:rsidR="006727C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едстава здравственог осигурања</w:t>
      </w:r>
      <w:r w:rsidR="006727CE"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</w:t>
      </w:r>
      <w:r w:rsidR="006727C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и обезбјеђује законско</w:t>
      </w:r>
      <w:r w:rsidR="008244A2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, непосредно и ефикасно остваривање права из здравственог осигурања.</w:t>
      </w:r>
    </w:p>
    <w:p w:rsidR="00036988" w:rsidRPr="00C504BA" w:rsidRDefault="00036988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Једно од основних начела</w:t>
      </w:r>
      <w:r w:rsidR="009029BD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на којима се заснивају системи здравственог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осигурања јесте начело солидарности.</w:t>
      </w:r>
    </w:p>
    <w:p w:rsidR="00622AFD" w:rsidRPr="00C504BA" w:rsidRDefault="00B97F6C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Потребно</w:t>
      </w:r>
      <w:r w:rsidR="00A0551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је </w:t>
      </w:r>
      <w:r w:rsidR="00F064F0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да сви грађани уплаћују доприно</w:t>
      </w:r>
      <w:r w:rsidR="0003698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с према економским могућностима, што значи да висина уплаћених доприноса зависи од висине личног примања осигураног лица. Доприноси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се сакупљају у Фонду и </w:t>
      </w:r>
      <w:r w:rsidR="00F064F0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троше према потребама.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</w:t>
      </w:r>
    </w:p>
    <w:p w:rsidR="00A705E3" w:rsidRPr="00C504BA" w:rsidRDefault="00A705E3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Приход Фонда чине средства из доприноса за обавезно здравствено осигурање, средства из буџета, донације, дио пореза на проме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т алкохола и дувана,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средства из регреса и друга средства. </w:t>
      </w:r>
    </w:p>
    <w:p w:rsidR="00837883" w:rsidRPr="00C504BA" w:rsidRDefault="00837883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Органи Фонда су </w:t>
      </w:r>
      <w:r w:rsidR="0077250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управни одбор,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надзорни одбор и директор.</w:t>
      </w:r>
    </w:p>
    <w:p w:rsidR="00675A61" w:rsidRDefault="00675A61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Цијене здравствених услуга утврђује Фонд и Здравствена комора Републике Српске.</w:t>
      </w:r>
    </w:p>
    <w:p w:rsidR="00C118AF" w:rsidRPr="00C504BA" w:rsidRDefault="00C85CA5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 Републици Српској</w:t>
      </w:r>
      <w:r w:rsidR="00C118AF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дијете осигураника има право на бесплатну здравствену заштиту до навршених 15 година, односн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о до навршене 26 године живота </w:t>
      </w:r>
      <w:r w:rsidR="00C118AF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ако је на редовном школовању. </w:t>
      </w:r>
    </w:p>
    <w:p w:rsidR="00DD7DCB" w:rsidRPr="00C504BA" w:rsidRDefault="003C6E26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Фонд је дужан да за текућу годину обезбиједи средства за здравствене приоритете, примарну здравствену заштиту и основни пакет здравствене заштите. </w:t>
      </w:r>
    </w:p>
    <w:p w:rsidR="00972410" w:rsidRPr="00C504BA" w:rsidRDefault="00972410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Грађани Републике Српске могу се осигурати код приватне агенције за здравствено осигурање.</w:t>
      </w:r>
      <w:r w:rsidR="00BE3B4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Приватне агенције уговарају пружа</w:t>
      </w:r>
      <w:r w:rsidR="00BE3B4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ње здравствених услуга директно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са здравственим установама на основу јединств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ених цијена услуга које утврђују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Фонд и здравствене коморе.</w:t>
      </w:r>
    </w:p>
    <w:p w:rsidR="00C118AF" w:rsidRPr="00C118AF" w:rsidRDefault="003C6E26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Контролу над провођењем здравствене заштите и активностима Фонда у Републици Српској врши Министарство здравља и социјалне заштите.</w:t>
      </w:r>
      <w:r w:rsidR="00B01D1B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</w:p>
    <w:p w:rsidR="00C07263" w:rsidRPr="00C504BA" w:rsidRDefault="00C07263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 Републици Српској је крајем 2017. године основан </w:t>
      </w:r>
      <w:r w:rsidR="00BE3B4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Фонд солидарности за дијагностику и лијечење обољења, стања и повреда дјеце у иностранству.</w:t>
      </w:r>
    </w:p>
    <w:p w:rsidR="00BE3B4E" w:rsidRPr="00C504BA" w:rsidRDefault="00BE3B4E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Циљ Фонда солидарности је да се прикупљају додатна финансијска средства како би се омогућила дијагностика и лијечење дјеце у иностранству, када то није могуће у здравственим установама у Републици Српској</w:t>
      </w:r>
      <w:r w:rsidR="00945AAC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нити у другим установама са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којим Фонд з</w:t>
      </w:r>
      <w:r w:rsidR="00945AAC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дравственог осигурања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Републике Српске има потписан уговор. </w:t>
      </w:r>
    </w:p>
    <w:p w:rsidR="0088469E" w:rsidRPr="00C504BA" w:rsidRDefault="00945AAC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ab/>
        <w:t>Оснивање, рад, статус и организација</w:t>
      </w:r>
      <w:r w:rsidR="00C85CA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Фонда солидарности уређени су З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аконом</w:t>
      </w:r>
      <w:r w:rsidRPr="00C504BA"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footnoteReference w:id="8"/>
      </w:r>
      <w:r w:rsidR="0088469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. </w:t>
      </w:r>
      <w:r w:rsidR="0077775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</w:p>
    <w:p w:rsidR="006F0700" w:rsidRPr="00C504BA" w:rsidRDefault="006F0700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ab/>
        <w:t>Захтјев за лијечење дјеце преко Фонда солидарности под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носе родитељи, старатељи дјеце до 18 година старости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који су осигураници Фонда здравственог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lastRenderedPageBreak/>
        <w:t>осигурања Републике</w:t>
      </w:r>
      <w:r w:rsidR="00C85CA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Српске. О сваком захтјеву који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пристиг</w:t>
      </w:r>
      <w:r w:rsidR="00C85CA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не у Фонд солидарности изјашњава се стручна Комисија Фонда солидарности, као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и Управни одбор ове установе.</w:t>
      </w:r>
    </w:p>
    <w:p w:rsidR="00777756" w:rsidRPr="00C504BA" w:rsidRDefault="00777756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ab/>
        <w:t xml:space="preserve">Средства за Фонд солидарности прикупљају се из различитих извора: </w:t>
      </w:r>
    </w:p>
    <w:p w:rsidR="00777756" w:rsidRPr="00C504BA" w:rsidRDefault="00C85CA5" w:rsidP="00995DA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б</w:t>
      </w:r>
      <w:r w:rsidR="0077775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уџета Републике Српске</w:t>
      </w:r>
      <w:r w:rsidR="00E647DC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у износу од 0,025% остварених пореских и непореских прихода у претходној фискалној години, умањених за износ доприноса за социјално осигурање;</w:t>
      </w:r>
    </w:p>
    <w:p w:rsidR="00777756" w:rsidRPr="00C504BA" w:rsidRDefault="00C85CA5" w:rsidP="00995DA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</w:t>
      </w:r>
      <w:r w:rsidR="0077775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осебних доприноса за солидарност на терет буџетских корисника, јавних предузећа, установа, органа управе; </w:t>
      </w:r>
    </w:p>
    <w:p w:rsidR="00777756" w:rsidRPr="00C504BA" w:rsidRDefault="00C85CA5" w:rsidP="00995DA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</w:t>
      </w:r>
      <w:r w:rsidR="0077775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осебног доприноса за солидарност у износу од 0,25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% </w:t>
      </w:r>
      <w:r w:rsidR="0077775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плате запо</w:t>
      </w:r>
      <w:r w:rsidR="00E647DC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сленог лица у Републици Српској;</w:t>
      </w:r>
    </w:p>
    <w:p w:rsidR="00E647DC" w:rsidRPr="00C504BA" w:rsidRDefault="00C85CA5" w:rsidP="00995DA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б</w:t>
      </w:r>
      <w:r w:rsidR="00E647DC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уџета општ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ина и градова у износу од 0,025</w:t>
      </w:r>
      <w:r w:rsidR="00E647DC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% остварених пореских и непореских прихода у претходној години.</w:t>
      </w:r>
    </w:p>
    <w:p w:rsidR="00187904" w:rsidRPr="00C504BA" w:rsidRDefault="00E647DC" w:rsidP="007F5808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Исто тако предузетници, привредна лица, међународне организације, појединци и други заинтересовани могу да донирају новац Фонду солидарности.</w:t>
      </w:r>
    </w:p>
    <w:p w:rsidR="00DC64BC" w:rsidRDefault="003F1ACA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ab/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Око 97</w:t>
      </w:r>
      <w:r w:rsidRPr="003F1AC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% укупног прихода Фонда се користи за финансирање здравствене заштите осигураних лица. Нај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већи дио прихода, око 70</w:t>
      </w:r>
      <w:r w:rsidR="00DC64B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%, издваја се домов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има </w:t>
      </w:r>
      <w:r w:rsidR="00DC64B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здравља и болниц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ама за услуге </w:t>
      </w:r>
      <w:r w:rsidRPr="003F1AC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које пружају осигураницима Фонда.</w:t>
      </w:r>
      <w:bookmarkStart w:id="5" w:name="_Toc517343911"/>
    </w:p>
    <w:p w:rsidR="00C23BD0" w:rsidRDefault="00DC64BC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Укупни расходи </w:t>
      </w:r>
      <w:r w:rsidRPr="00DC64B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Фонда здравственог осигурања Републике Српске за о</w:t>
      </w:r>
      <w:r w:rsidR="00E11B2B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бавезно здравствено осигурање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у 2016. години</w:t>
      </w:r>
      <w:r w:rsidR="00C23BD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Pr="00DC64B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износили</w:t>
      </w:r>
      <w:r w:rsidR="00DC037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су 766.673.</w:t>
      </w:r>
      <w:r w:rsidR="00C23BD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735</w:t>
      </w:r>
      <w:r w:rsidRPr="00DC64B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КМ</w:t>
      </w:r>
      <w:r w:rsidR="00E11B2B"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footnoteReference w:id="9"/>
      </w:r>
      <w:r w:rsidR="00C23BD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и то за примарну здрав</w:t>
      </w:r>
      <w:r w:rsidR="00DC037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ствену заштиту издвојено је 239.604.</w:t>
      </w:r>
      <w:r w:rsidR="00C23BD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864 КМ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,</w:t>
      </w:r>
      <w:r w:rsidR="00C23BD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а за секундарну и тер</w:t>
      </w:r>
      <w:r w:rsidR="00DC037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цијарну здравствену заштиту 325.336.</w:t>
      </w:r>
      <w:r w:rsidR="00C23BD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924 </w:t>
      </w:r>
      <w:r w:rsidR="00C23BD0" w:rsidRPr="00C23BD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КМ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</w:t>
      </w:r>
    </w:p>
    <w:p w:rsidR="00C23BD0" w:rsidRDefault="00C23BD0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23BD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Права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из обавезног здравственог осигурања у 2</w:t>
      </w:r>
      <w:r w:rsidR="002E61B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016. години имало је укупно 917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357 осигураних лица, од чега </w:t>
      </w:r>
      <w:r w:rsidR="002E61B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589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</w:t>
      </w:r>
      <w:r w:rsidR="002E61B0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833 носиоца осигурања и 327</w:t>
      </w:r>
      <w:r w:rsidR="007F580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524 члана породице осиграника. Просјечан мјесечни расход по </w:t>
      </w:r>
      <w:r w:rsidR="00DF06BB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носиоцу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ос</w:t>
      </w:r>
      <w:r w:rsidR="00DF06BB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игурања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за 2016. годину износио је 108,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32 КМ, 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а по осигураном лицу 69,64 КМ.</w:t>
      </w:r>
    </w:p>
    <w:p w:rsidR="00910182" w:rsidRDefault="00910182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</w:p>
    <w:p w:rsidR="00670DCB" w:rsidRPr="00670DCB" w:rsidRDefault="00670DCB" w:rsidP="00995DA5">
      <w:pPr>
        <w:spacing w:after="0" w:line="240" w:lineRule="auto"/>
        <w:jc w:val="both"/>
      </w:pPr>
    </w:p>
    <w:p w:rsidR="0077250C" w:rsidRDefault="0077250C" w:rsidP="00995DA5">
      <w:pPr>
        <w:spacing w:after="0" w:line="240" w:lineRule="auto"/>
        <w:jc w:val="both"/>
        <w:rPr>
          <w:lang w:val="sr-Cyrl-RS"/>
        </w:rPr>
      </w:pPr>
    </w:p>
    <w:p w:rsidR="0077250C" w:rsidRDefault="0077250C" w:rsidP="00995DA5">
      <w:pPr>
        <w:spacing w:after="0" w:line="240" w:lineRule="auto"/>
        <w:jc w:val="both"/>
        <w:rPr>
          <w:lang w:val="sr-Cyrl-RS"/>
        </w:rPr>
      </w:pPr>
    </w:p>
    <w:p w:rsidR="0077250C" w:rsidRDefault="0077250C" w:rsidP="00995DA5">
      <w:pPr>
        <w:spacing w:after="0" w:line="240" w:lineRule="auto"/>
        <w:jc w:val="both"/>
        <w:rPr>
          <w:lang w:val="sr-Cyrl-RS"/>
        </w:rPr>
      </w:pPr>
    </w:p>
    <w:p w:rsidR="0077250C" w:rsidRDefault="0077250C" w:rsidP="00995DA5">
      <w:pPr>
        <w:spacing w:after="0" w:line="240" w:lineRule="auto"/>
        <w:jc w:val="both"/>
        <w:rPr>
          <w:lang w:val="sr-Cyrl-RS"/>
        </w:rPr>
      </w:pPr>
    </w:p>
    <w:p w:rsidR="0077250C" w:rsidRDefault="0077250C" w:rsidP="00995DA5">
      <w:pPr>
        <w:spacing w:after="0" w:line="240" w:lineRule="auto"/>
        <w:jc w:val="both"/>
        <w:rPr>
          <w:lang w:val="sr-Cyrl-RS"/>
        </w:rPr>
      </w:pPr>
    </w:p>
    <w:p w:rsidR="00537507" w:rsidRDefault="00537507" w:rsidP="00995DA5">
      <w:pPr>
        <w:pStyle w:val="Heading1"/>
        <w:spacing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F37149" w:rsidRDefault="00F37149" w:rsidP="00995DA5">
      <w:pPr>
        <w:jc w:val="both"/>
      </w:pPr>
    </w:p>
    <w:p w:rsidR="00F37149" w:rsidRDefault="00F37149" w:rsidP="00995DA5">
      <w:pPr>
        <w:jc w:val="both"/>
      </w:pPr>
    </w:p>
    <w:p w:rsidR="00F37149" w:rsidRPr="00F37149" w:rsidRDefault="00F37149" w:rsidP="00995DA5">
      <w:pPr>
        <w:jc w:val="both"/>
      </w:pPr>
    </w:p>
    <w:p w:rsidR="00537507" w:rsidRPr="00537507" w:rsidRDefault="00537507" w:rsidP="00995DA5">
      <w:pPr>
        <w:spacing w:after="0" w:line="240" w:lineRule="auto"/>
        <w:jc w:val="both"/>
      </w:pPr>
    </w:p>
    <w:p w:rsidR="00280876" w:rsidRDefault="00560B62" w:rsidP="00995DA5">
      <w:pPr>
        <w:pStyle w:val="Heading1"/>
        <w:spacing w:line="240" w:lineRule="auto"/>
        <w:jc w:val="both"/>
        <w:rPr>
          <w:noProof/>
          <w:color w:val="000000" w:themeColor="text1"/>
        </w:rPr>
      </w:pPr>
      <w:bookmarkStart w:id="6" w:name="_Toc529357368"/>
      <w:r w:rsidRPr="00C504BA">
        <w:rPr>
          <w:noProof/>
          <w:color w:val="000000" w:themeColor="text1"/>
          <w:lang w:val="sr-Cyrl-RS"/>
        </w:rPr>
        <w:lastRenderedPageBreak/>
        <w:t>САВЕЗНА РЕПУБЛИКА ЊЕМАЧКА</w:t>
      </w:r>
      <w:bookmarkEnd w:id="5"/>
      <w:bookmarkEnd w:id="6"/>
      <w:r w:rsidR="00280876" w:rsidRPr="00C504BA">
        <w:rPr>
          <w:noProof/>
          <w:color w:val="000000" w:themeColor="text1"/>
          <w:lang w:val="sr-Cyrl-RS"/>
        </w:rPr>
        <w:t xml:space="preserve"> </w:t>
      </w:r>
    </w:p>
    <w:p w:rsidR="00954DB2" w:rsidRPr="00954DB2" w:rsidRDefault="00954DB2" w:rsidP="00995DA5">
      <w:pPr>
        <w:spacing w:after="0" w:line="240" w:lineRule="auto"/>
        <w:jc w:val="both"/>
      </w:pPr>
    </w:p>
    <w:p w:rsidR="00280876" w:rsidRPr="00C504BA" w:rsidRDefault="00280876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 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Републици </w:t>
      </w:r>
      <w:r w:rsidR="0014359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Њемачкој је заступљен Бизмарков</w:t>
      </w:r>
      <w:r w:rsidR="0014359F"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модел организације и финансирања здравствене заштите што значи да је здравствени систем релативно аутономан од државе. </w:t>
      </w:r>
    </w:p>
    <w:p w:rsidR="00A05516" w:rsidRPr="00C504BA" w:rsidRDefault="00A05516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Болнице у Њемачкој су углавном под управом локалних или регионалних власти.</w:t>
      </w:r>
    </w:p>
    <w:p w:rsidR="004C6438" w:rsidRDefault="006F408B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Постоје два система оси</w:t>
      </w:r>
      <w:r w:rsidR="004C643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гурања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,</w:t>
      </w:r>
      <w:r w:rsidR="004C643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а то су обавезно здравст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в</w:t>
      </w:r>
      <w:r w:rsidR="004C6438">
        <w:rPr>
          <w:rFonts w:asciiTheme="majorHAnsi" w:hAnsiTheme="majorHAnsi"/>
          <w:noProof/>
          <w:color w:val="000000" w:themeColor="text1"/>
          <w:sz w:val="24"/>
          <w:szCs w:val="24"/>
        </w:rPr>
        <w:t>e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но осигурање и приватно здравствено осигурање. </w:t>
      </w:r>
    </w:p>
    <w:p w:rsidR="006F408B" w:rsidRDefault="006F408B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Обавезно здравствено осигурање је досту</w:t>
      </w:r>
      <w:r w:rsidR="003A705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пно свима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,</w:t>
      </w:r>
      <w:r w:rsidR="003A705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а за приватно здравст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в</w:t>
      </w:r>
      <w:r w:rsidR="003A705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е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но осигурање постоје одређени услови. </w:t>
      </w:r>
    </w:p>
    <w:p w:rsidR="009F019F" w:rsidRDefault="003A7057" w:rsidP="00475494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3A705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Одређене групе становништва морају бити корисници о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бавезног здравствног осигурања </w:t>
      </w:r>
      <w:r w:rsidRPr="003A705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а то су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:</w:t>
      </w:r>
      <w:r w:rsidRPr="003A705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запослени (с бруто примањима исп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од границе обавезног осигурања);</w:t>
      </w:r>
      <w:r w:rsidRPr="003A705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пензионери и пр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имаоци накнаде за незапослене. За </w:t>
      </w:r>
      <w:r w:rsidR="006727C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обавезно здравствено осигурање задужени су тзв. обавезни здравствени фондови.</w:t>
      </w:r>
    </w:p>
    <w:p w:rsidR="004C6438" w:rsidRDefault="004C6438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Доприноси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обавезно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здравствено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осигурање зависе од висине мјесечних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примања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Као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основица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се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узима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укуп</w:t>
      </w:r>
      <w:r w:rsidR="00D16C8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ан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бруто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приход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на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који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се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обрачунава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јединствена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стопа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од</w:t>
      </w:r>
      <w:r w:rsidR="00C917A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14,6</w:t>
      </w:r>
      <w:r w:rsidR="00C917AE">
        <w:rPr>
          <w:rFonts w:asciiTheme="majorHAnsi" w:hAnsiTheme="majorHAnsi"/>
          <w:noProof/>
          <w:color w:val="000000" w:themeColor="text1"/>
          <w:sz w:val="24"/>
          <w:szCs w:val="24"/>
        </w:rPr>
        <w:t>%</w:t>
      </w:r>
      <w:r w:rsidR="00DC037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</w:t>
      </w:r>
      <w:r w:rsidR="00DC0375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Она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се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подједнако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расподјељује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на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по</w:t>
      </w:r>
      <w:r w:rsidR="00C917A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7,3</w:t>
      </w:r>
      <w:r w:rsidR="00C917AE">
        <w:rPr>
          <w:rFonts w:asciiTheme="majorHAnsi" w:hAnsiTheme="majorHAnsi"/>
          <w:noProof/>
          <w:color w:val="000000" w:themeColor="text1"/>
          <w:sz w:val="24"/>
          <w:szCs w:val="24"/>
        </w:rPr>
        <w:t>%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осигураника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и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послодавца. У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оквиру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обавезног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здравственог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осигурања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дјеца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и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брачни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партнери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могу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бити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бесплатно осигурани у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склопу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породичног осигурања</w:t>
      </w:r>
      <w:r w:rsidRPr="004C6438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.</w:t>
      </w:r>
    </w:p>
    <w:p w:rsidR="003869A2" w:rsidRDefault="003869A2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Ј</w:t>
      </w:r>
      <w:r w:rsidR="006727C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едну групу осигураника чине становници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са већим мјесечним приходима </w:t>
      </w:r>
      <w:r w:rsidR="006727C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и они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могу да бирају између обавезног и приватног здравственог осигурања. </w:t>
      </w:r>
    </w:p>
    <w:p w:rsidR="003A7057" w:rsidRDefault="003A7057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Корисници приватног здравственог осигурања могу бити запослени са бруто примањима изнад границе обавезног осигурања, државни службеници и самозапослени. </w:t>
      </w:r>
    </w:p>
    <w:p w:rsidR="00CD1B1E" w:rsidRPr="00CD1B1E" w:rsidRDefault="00CD1B1E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Понуда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услуга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приватног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здравственог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осигурања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не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подлијеже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државним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прописима и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знатно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је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опсежнија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од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обавезног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осигурања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Осим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тога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услуге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могу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циљано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прилагодити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сваком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осигураном лицу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Све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трошкове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лијечења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осигураници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плаћају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унапријед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Осигурање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те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трошкове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надокнађује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на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основу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предочених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рачуна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(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принцип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надокнаде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трошкова</w:t>
      </w:r>
      <w:r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).</w:t>
      </w:r>
    </w:p>
    <w:p w:rsidR="00280876" w:rsidRPr="00C504BA" w:rsidRDefault="00280876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Више од 90%</w:t>
      </w:r>
      <w:r w:rsidR="003869A2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њемачког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стано</w:t>
      </w:r>
      <w:r w:rsidR="004C6438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вништва је укључено у систем </w:t>
      </w:r>
      <w:r w:rsidR="003869A2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здравственог осигурања.</w:t>
      </w:r>
      <w:r w:rsidR="00A05516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Око 80% здравствених трошкова покрива се из јавног сектора, а 20% из приватних осигуравајућих кућа. </w:t>
      </w:r>
    </w:p>
    <w:p w:rsidR="00CD1B1E" w:rsidRPr="00CD1B1E" w:rsidRDefault="006F408B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Од 2009. године свак</w:t>
      </w:r>
      <w:r w:rsidR="00954D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а особа са сталном адресом у</w:t>
      </w:r>
      <w:r w:rsidR="00954DB2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Њемачкој </w:t>
      </w:r>
      <w:r w:rsidR="00C917A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корисник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је здравственог осигурања</w:t>
      </w:r>
      <w:r w:rsidR="00C24AE8" w:rsidRPr="00C504BA"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footnoteReference w:id="10"/>
      </w:r>
      <w:r w:rsidR="00C24A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.</w:t>
      </w:r>
      <w:r w:rsidR="0090729B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Здравствено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осигурање потребно је и у случају к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раткотрајног боравка у Њемачкој. Лице је дужно осигурати се у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једној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од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њемачких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кућа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за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здравствено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осигурање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јер се у супротном не одобрава виза.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Њемачко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осигурање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престаје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да важи чим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се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осигураник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врати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у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матичну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земљу</w:t>
      </w:r>
      <w:r w:rsidR="00CD1B1E" w:rsidRPr="00CD1B1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.</w:t>
      </w:r>
    </w:p>
    <w:p w:rsidR="00326857" w:rsidRDefault="0014359F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Фондови здравственог осигурања су организовани</w:t>
      </w:r>
      <w:r w:rsidR="00326857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на темељу географског подручја и заспослености. </w:t>
      </w:r>
    </w:p>
    <w:p w:rsidR="0014359F" w:rsidRPr="00C504BA" w:rsidRDefault="0014359F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Седам основних група подијељене су на 17 регионалних, 12 замјенских, 287 фондова базираних на темељу запослености, 24 фонда у власништву разних удружења, 13 пољопривредних фондова </w:t>
      </w:r>
      <w:r w:rsidR="00326857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те један раднички и један војни </w:t>
      </w:r>
      <w:r w:rsidR="00560B62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фонд. </w:t>
      </w:r>
      <w:r w:rsidR="00326857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Фондови могу да настају, мијењају</w:t>
      </w:r>
      <w:r w:rsidR="00DC0375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="00326857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се и укидају према потребама становништва. </w:t>
      </w:r>
    </w:p>
    <w:p w:rsidR="00560B62" w:rsidRPr="00C504BA" w:rsidRDefault="00560B62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lastRenderedPageBreak/>
        <w:t>Расподјела средстава у обавезном здравственом осигурању</w:t>
      </w:r>
      <w:r w:rsidR="00C917A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заснована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је на начелима солидарности, а код приватних осигурања на начелима штедних рачуна. Одређене повластице имају корисници обавезног здравственог осигурања (труднице, болесни и слично),</w:t>
      </w:r>
      <w:r w:rsidR="00C917AE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а код приватног здравственог осигурања постоји искључиво начело покрића трошкова. </w:t>
      </w:r>
    </w:p>
    <w:p w:rsidR="00560B62" w:rsidRPr="00C504BA" w:rsidRDefault="00234FDF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Недостатак</w:t>
      </w:r>
      <w:r w:rsidR="0096049D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овог модела организације и фи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нансирања здравствене заштите је</w:t>
      </w:r>
      <w:r w:rsidR="0096049D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перманентни раст трошкова који проистичу из самог карактера овог система.</w:t>
      </w:r>
    </w:p>
    <w:p w:rsidR="00A139E8" w:rsidRPr="00C504BA" w:rsidRDefault="00A139E8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A139E8" w:rsidRPr="00C504BA" w:rsidRDefault="00A139E8" w:rsidP="00995DA5">
      <w:pPr>
        <w:spacing w:after="0" w:line="240" w:lineRule="auto"/>
        <w:ind w:firstLine="36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9B7BCA" w:rsidRPr="00C504BA" w:rsidRDefault="009B7BCA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326857" w:rsidRDefault="00326857" w:rsidP="00995DA5">
      <w:pPr>
        <w:pStyle w:val="Heading1"/>
        <w:spacing w:line="240" w:lineRule="auto"/>
        <w:jc w:val="both"/>
        <w:rPr>
          <w:noProof/>
          <w:color w:val="000000" w:themeColor="text1"/>
          <w:lang w:val="sr-Cyrl-RS"/>
        </w:rPr>
      </w:pPr>
      <w:bookmarkStart w:id="7" w:name="_Toc517343912"/>
    </w:p>
    <w:p w:rsidR="00326857" w:rsidRDefault="00326857" w:rsidP="00995DA5">
      <w:pPr>
        <w:pStyle w:val="Heading1"/>
        <w:spacing w:line="240" w:lineRule="auto"/>
        <w:jc w:val="both"/>
        <w:rPr>
          <w:noProof/>
          <w:color w:val="000000" w:themeColor="text1"/>
          <w:lang w:val="sr-Cyrl-RS"/>
        </w:rPr>
      </w:pPr>
    </w:p>
    <w:p w:rsidR="00326857" w:rsidRDefault="00326857" w:rsidP="00995DA5">
      <w:pPr>
        <w:pStyle w:val="Heading1"/>
        <w:spacing w:line="240" w:lineRule="auto"/>
        <w:jc w:val="both"/>
        <w:rPr>
          <w:noProof/>
          <w:color w:val="000000" w:themeColor="text1"/>
          <w:lang w:val="sr-Cyrl-RS"/>
        </w:rPr>
      </w:pPr>
    </w:p>
    <w:p w:rsidR="00326857" w:rsidRDefault="00326857" w:rsidP="00995DA5">
      <w:pPr>
        <w:pStyle w:val="Heading1"/>
        <w:spacing w:line="240" w:lineRule="auto"/>
        <w:jc w:val="both"/>
        <w:rPr>
          <w:noProof/>
          <w:color w:val="000000" w:themeColor="text1"/>
          <w:lang w:val="sr-Cyrl-RS"/>
        </w:rPr>
      </w:pPr>
    </w:p>
    <w:p w:rsidR="00326857" w:rsidRDefault="00326857" w:rsidP="00995DA5">
      <w:pPr>
        <w:pStyle w:val="Heading1"/>
        <w:spacing w:line="240" w:lineRule="auto"/>
        <w:jc w:val="both"/>
        <w:rPr>
          <w:noProof/>
          <w:color w:val="000000" w:themeColor="text1"/>
          <w:lang w:val="sr-Cyrl-RS"/>
        </w:rPr>
      </w:pPr>
    </w:p>
    <w:p w:rsidR="00326857" w:rsidRDefault="00326857" w:rsidP="00995DA5">
      <w:pPr>
        <w:pStyle w:val="Heading1"/>
        <w:spacing w:line="240" w:lineRule="auto"/>
        <w:jc w:val="both"/>
        <w:rPr>
          <w:noProof/>
          <w:color w:val="000000" w:themeColor="text1"/>
        </w:rPr>
      </w:pPr>
    </w:p>
    <w:p w:rsidR="00F37149" w:rsidRDefault="00F37149" w:rsidP="00995DA5">
      <w:pPr>
        <w:spacing w:after="0" w:line="240" w:lineRule="auto"/>
        <w:jc w:val="both"/>
      </w:pPr>
    </w:p>
    <w:p w:rsidR="00F37149" w:rsidRPr="00F37149" w:rsidRDefault="00F37149" w:rsidP="00995DA5">
      <w:pPr>
        <w:spacing w:after="0" w:line="240" w:lineRule="auto"/>
        <w:jc w:val="both"/>
      </w:pPr>
    </w:p>
    <w:p w:rsidR="00326857" w:rsidRDefault="00326857" w:rsidP="00995DA5">
      <w:pPr>
        <w:pStyle w:val="Heading1"/>
        <w:spacing w:line="240" w:lineRule="auto"/>
        <w:jc w:val="both"/>
        <w:rPr>
          <w:noProof/>
          <w:color w:val="000000" w:themeColor="text1"/>
          <w:lang w:val="sr-Cyrl-RS"/>
        </w:rPr>
      </w:pPr>
    </w:p>
    <w:p w:rsidR="00AA05E9" w:rsidRDefault="00AA05E9" w:rsidP="00995DA5">
      <w:pPr>
        <w:pStyle w:val="Heading1"/>
        <w:spacing w:line="240" w:lineRule="auto"/>
        <w:jc w:val="both"/>
        <w:rPr>
          <w:noProof/>
          <w:color w:val="000000" w:themeColor="text1"/>
        </w:rPr>
      </w:pPr>
    </w:p>
    <w:p w:rsidR="00AA05E9" w:rsidRDefault="00AA05E9" w:rsidP="00995DA5">
      <w:pPr>
        <w:jc w:val="both"/>
      </w:pPr>
    </w:p>
    <w:p w:rsidR="00AA05E9" w:rsidRPr="00AA05E9" w:rsidRDefault="00AA05E9" w:rsidP="00995DA5">
      <w:pPr>
        <w:jc w:val="both"/>
      </w:pPr>
    </w:p>
    <w:p w:rsidR="00560B62" w:rsidRDefault="00560B62" w:rsidP="00995DA5">
      <w:pPr>
        <w:pStyle w:val="Heading1"/>
        <w:spacing w:line="240" w:lineRule="auto"/>
        <w:jc w:val="both"/>
        <w:rPr>
          <w:noProof/>
          <w:color w:val="000000" w:themeColor="text1"/>
        </w:rPr>
      </w:pPr>
      <w:bookmarkStart w:id="8" w:name="_Toc529357369"/>
      <w:r w:rsidRPr="00C504BA">
        <w:rPr>
          <w:noProof/>
          <w:color w:val="000000" w:themeColor="text1"/>
          <w:lang w:val="sr-Cyrl-RS"/>
        </w:rPr>
        <w:lastRenderedPageBreak/>
        <w:t>УЈЕДИЊЕНО КРАЉЕВСТВО ВЕЛИКЕ БРИТАНИЈЕ И СЈЕВЕРНЕ ИРСКЕ</w:t>
      </w:r>
      <w:bookmarkEnd w:id="7"/>
      <w:bookmarkEnd w:id="8"/>
    </w:p>
    <w:p w:rsidR="00954DB2" w:rsidRPr="00954DB2" w:rsidRDefault="00954DB2" w:rsidP="00995DA5">
      <w:pPr>
        <w:spacing w:after="0" w:line="240" w:lineRule="auto"/>
        <w:jc w:val="both"/>
      </w:pPr>
    </w:p>
    <w:p w:rsidR="00187904" w:rsidRPr="00C504BA" w:rsidRDefault="00187904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  <w:lang w:val="sr-Cyrl-RS"/>
        </w:rPr>
      </w:pPr>
    </w:p>
    <w:p w:rsidR="00187904" w:rsidRPr="00C504BA" w:rsidRDefault="0018790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Систе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м националне здравствене службе </w:t>
      </w:r>
      <w:r w:rsidR="00431167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прва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је</w:t>
      </w:r>
      <w:r w:rsidR="00431167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увела Велика Британија.</w:t>
      </w:r>
      <w:r w:rsidR="00431167"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</w:t>
      </w:r>
      <w:r w:rsidR="00234FD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Систем је прилично централизован што значи да </w:t>
      </w:r>
      <w:r w:rsidR="003573F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здравствену заштиту финансира искључиво држава из државног буџета, а средства се прикупљају општим опорезивањем.</w:t>
      </w:r>
    </w:p>
    <w:p w:rsidR="00B36F00" w:rsidRPr="00C504BA" w:rsidRDefault="00B36F00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На врху </w:t>
      </w:r>
      <w:r w:rsidR="003573F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организације Националне здравствене служ</w:t>
      </w:r>
      <w:r w:rsidR="00B31A97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бе је Минис</w:t>
      </w:r>
      <w:r w:rsidR="0077250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тарство</w:t>
      </w:r>
      <w:r w:rsidR="00B31A97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здрављ</w:t>
      </w:r>
      <w:r w:rsidR="00B31A97"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>a</w:t>
      </w:r>
      <w:r w:rsidR="00B31A97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које</w:t>
      </w:r>
      <w:r w:rsidR="003573F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је задужено за равноправну расподјелу средстава и доношење законске регулативе</w:t>
      </w:r>
      <w:r w:rsidR="003573FE" w:rsidRPr="00C504BA"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footnoteReference w:id="11"/>
      </w:r>
      <w:r w:rsidR="003573F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</w:t>
      </w:r>
      <w:r w:rsidR="00B31A97"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</w:t>
      </w:r>
    </w:p>
    <w:p w:rsidR="00234FDF" w:rsidRPr="00C504BA" w:rsidRDefault="00234FDF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Заступљен је висок степен јавне контроле у комплетном организовању и финансирању здравственог </w:t>
      </w:r>
      <w:r w:rsidR="00117EF3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сектора.</w:t>
      </w:r>
    </w:p>
    <w:p w:rsidR="003573FE" w:rsidRPr="00C504BA" w:rsidRDefault="00B36F00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 самој организацији Националне здравствене службе посебну улогу имају фондови примарне његе, који су уведени 1997. године и преко њих се финансира преко 80% укупног</w:t>
      </w:r>
      <w:r w:rsidR="0077250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буџета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Националне здравствене службе Велике Британије.</w:t>
      </w:r>
    </w:p>
    <w:p w:rsidR="00B36F00" w:rsidRPr="00C504BA" w:rsidRDefault="00B36F00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Основна улога ових фондова је омогућавање приступа докторима те уговарање осталих здравствених услуга. </w:t>
      </w:r>
    </w:p>
    <w:p w:rsidR="002B1FEE" w:rsidRPr="00C504BA" w:rsidRDefault="002B1FEE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 систему примарне здравствене заштите кључну улогу имају љекари опште праксе и има их око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30.</w:t>
      </w:r>
      <w:r w:rsidR="000B71A2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000. Њихов основи задатак јесте да уговарају стандардне здравствене услуге са надлежним фондовима. </w:t>
      </w:r>
    </w:p>
    <w:p w:rsidR="00926CAE" w:rsidRPr="00C504BA" w:rsidRDefault="00926CAE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Финансирање здравствене заштите од уплаћеног обавезног здравственог осигурања </w:t>
      </w:r>
      <w:r w:rsidR="000B71A2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је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одвојено од буџетског финансирања. Осигурана лица одвајају одређени дио својих прихода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који ће бити употријебљени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за финансирање њихове здравствене заштите. </w:t>
      </w:r>
    </w:p>
    <w:p w:rsidR="00926CAE" w:rsidRPr="00C504BA" w:rsidRDefault="00926CAE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Висина доприноса је одређена посебним законом, а доприноси се прикупљају одвојено од пореза. </w:t>
      </w:r>
    </w:p>
    <w:p w:rsidR="00991E8B" w:rsidRPr="00C504BA" w:rsidRDefault="00991E8B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Упркос јакој здравственој контроли овај</w:t>
      </w:r>
      <w:r w:rsidR="00117EF3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модел </w:t>
      </w:r>
      <w:r w:rsidR="00117EF3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финансирања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здравства 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посљедњих година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б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иљежи значајан пораст трошкова.</w:t>
      </w:r>
    </w:p>
    <w:p w:rsidR="0096049D" w:rsidRPr="00C504BA" w:rsidRDefault="00991E8B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</w:t>
      </w:r>
      <w:r w:rsidR="00117EF3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зроци пораста трошкова су велика капитална улагања у државним болницама, неконтролисан раст трошкова у фармацеутском сектору те непостојање планирања потрошње у здравству.</w:t>
      </w:r>
    </w:p>
    <w:p w:rsidR="009B7BCA" w:rsidRPr="00C504BA" w:rsidRDefault="00991E8B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</w:rPr>
        <w:tab/>
      </w:r>
    </w:p>
    <w:p w:rsidR="00A139E8" w:rsidRPr="00C504BA" w:rsidRDefault="00A139E8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  <w:lang w:val="sr-Cyrl-RS"/>
        </w:rPr>
      </w:pPr>
    </w:p>
    <w:p w:rsidR="004E3548" w:rsidRPr="00C504BA" w:rsidRDefault="004E3548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  <w:lang w:val="sr-Cyrl-RS"/>
        </w:rPr>
      </w:pPr>
    </w:p>
    <w:p w:rsidR="00991E8B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  <w:lang w:val="sr-Cyrl-RS"/>
        </w:rPr>
      </w:pPr>
    </w:p>
    <w:p w:rsidR="00C917AE" w:rsidRPr="00C917AE" w:rsidRDefault="00C917AE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  <w:lang w:val="sr-Cyrl-RS"/>
        </w:rPr>
      </w:pPr>
    </w:p>
    <w:p w:rsidR="00AA05E9" w:rsidRDefault="00AA05E9" w:rsidP="00995DA5">
      <w:pPr>
        <w:pStyle w:val="Heading1"/>
        <w:spacing w:line="240" w:lineRule="auto"/>
        <w:jc w:val="both"/>
        <w:rPr>
          <w:rFonts w:eastAsiaTheme="minorHAnsi" w:cstheme="minorBidi"/>
          <w:bCs w:val="0"/>
          <w:noProof/>
          <w:color w:val="000000" w:themeColor="text1"/>
        </w:rPr>
      </w:pPr>
      <w:bookmarkStart w:id="9" w:name="_Toc517343913"/>
    </w:p>
    <w:p w:rsidR="00AA05E9" w:rsidRPr="00AA05E9" w:rsidRDefault="00AA05E9" w:rsidP="00995DA5">
      <w:pPr>
        <w:jc w:val="both"/>
      </w:pPr>
    </w:p>
    <w:p w:rsidR="00F26279" w:rsidRPr="00C504BA" w:rsidRDefault="00B22790" w:rsidP="00995DA5">
      <w:pPr>
        <w:pStyle w:val="Heading1"/>
        <w:spacing w:line="240" w:lineRule="auto"/>
        <w:jc w:val="both"/>
        <w:rPr>
          <w:noProof/>
          <w:color w:val="000000" w:themeColor="text1"/>
          <w:lang w:val="sr-Cyrl-RS"/>
        </w:rPr>
      </w:pPr>
      <w:bookmarkStart w:id="10" w:name="_Toc529357370"/>
      <w:r w:rsidRPr="00C504BA">
        <w:rPr>
          <w:noProof/>
          <w:color w:val="000000" w:themeColor="text1"/>
          <w:lang w:val="sr-Cyrl-RS"/>
        </w:rPr>
        <w:t>СЈЕДИЊЕНЕ АМЕРИЧКЕ ДРЖАВЕ</w:t>
      </w:r>
      <w:bookmarkEnd w:id="9"/>
      <w:bookmarkEnd w:id="10"/>
    </w:p>
    <w:p w:rsidR="00F26279" w:rsidRPr="00C504BA" w:rsidRDefault="00F26279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  <w:lang w:val="sr-Cyrl-RS"/>
        </w:rPr>
      </w:pPr>
    </w:p>
    <w:p w:rsidR="00F26279" w:rsidRPr="00C504BA" w:rsidRDefault="00F26279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lastRenderedPageBreak/>
        <w:t xml:space="preserve">У Сједињеним Америчким Државама заступљен је тржишни модел финансирања 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здравст</w:t>
      </w:r>
      <w:r w:rsidR="00A17681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в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е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не заштите </w:t>
      </w:r>
      <w:r w:rsidR="00A17681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који се зна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тно разликује о</w:t>
      </w:r>
      <w:r w:rsidR="003704F3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д система у европским земљама.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Највеће разлике огледају се у концептима екон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мске и социјалне политике.</w:t>
      </w:r>
    </w:p>
    <w:p w:rsidR="009F5A4F" w:rsidRPr="00C504BA" w:rsidRDefault="009F5A4F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Јавне здравствене установе које проводе превентивну здравствену заштиту финансирају се из</w:t>
      </w:r>
      <w:r w:rsidR="00DC0375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буџета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локалних заједница. </w:t>
      </w:r>
    </w:p>
    <w:p w:rsidR="009F5A4F" w:rsidRPr="00C504BA" w:rsidRDefault="009F5A4F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Посебну улогу у финансирању здравства имају волонтерски фондови преко којих се финансирају неки од здравствених ризика, као што су неке хируршке интервенције или класични облици хоспитализације.</w:t>
      </w:r>
    </w:p>
    <w:p w:rsidR="00F26279" w:rsidRPr="00C504BA" w:rsidRDefault="00F26279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Финансирање здравствене заштите од добровољног здравственог осигурања </w:t>
      </w:r>
      <w:r w:rsidR="009B3183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представља извор у коме осигурана лица представљају купце осигурања од независних, конкурентских продаваца осигурања.</w:t>
      </w:r>
    </w:p>
    <w:p w:rsidR="009B3183" w:rsidRPr="00C504BA" w:rsidRDefault="009B3183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Осигурана лица на добровољној основи купују осиг</w:t>
      </w:r>
      <w:r w:rsidR="005F18B3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рања од осигуравајућих агенција тако што купац осигурања бира одговарајући пр</w:t>
      </w:r>
      <w:r w:rsidR="00D10C2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ограм по којем ће се осигурати.</w:t>
      </w:r>
    </w:p>
    <w:p w:rsidR="005F18B3" w:rsidRPr="00C504BA" w:rsidRDefault="005F18B3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Добровољно осигурање може бити допунско или додатно, а могу га нудити јавне или приватне осигуравајуће агенције.</w:t>
      </w:r>
    </w:p>
    <w:p w:rsidR="00B77891" w:rsidRPr="00C504BA" w:rsidRDefault="00B77891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Непосредна плаћа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ња здравствене заштите у САД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биљеже стални пораст, тако да данас досежу</w:t>
      </w:r>
      <w:r w:rsidR="00D10C2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и до 70% здравствене потрошње.</w:t>
      </w:r>
    </w:p>
    <w:p w:rsidR="00E776EC" w:rsidRPr="00C504BA" w:rsidRDefault="00E776EC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Кретање фина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нсијских средстава у здравству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дешава се тако што прикупљени новац долази у надлежне институције и у надлежним институцијама врши се расподјела финансијских средстава онима који су задужени за пружање здравствених услуга. </w:t>
      </w:r>
    </w:p>
    <w:p w:rsidR="00B77891" w:rsidRPr="00C504BA" w:rsidRDefault="0047549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 САД </w:t>
      </w:r>
      <w:r w:rsidR="00B77891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приватни љек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ари наплаћују своје услуге </w:t>
      </w:r>
      <w:r w:rsidR="00B77891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по методи непосредних наплаћ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ивања услуга па је сходно томе </w:t>
      </w:r>
      <w:r w:rsidR="00B77891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организована комплетна здравствена заштита са хитним службама и болничким клиникама. </w:t>
      </w:r>
    </w:p>
    <w:p w:rsidR="005C07EF" w:rsidRPr="00C504BA" w:rsidRDefault="00D10C2E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собама лошијег имовинског стања и пензионерима доступно 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је 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државно здравство кроз програме </w:t>
      </w:r>
      <w:r w:rsidR="007A1589" w:rsidRPr="00AF21B2">
        <w:rPr>
          <w:rFonts w:asciiTheme="majorHAnsi" w:hAnsiTheme="majorHAnsi"/>
          <w:i/>
          <w:noProof/>
          <w:color w:val="000000" w:themeColor="text1"/>
          <w:sz w:val="24"/>
          <w:szCs w:val="24"/>
          <w:lang w:val="sr-Latn-CS"/>
        </w:rPr>
        <w:t>Medicaid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и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Latn-CS"/>
        </w:rPr>
        <w:t xml:space="preserve"> </w:t>
      </w:r>
      <w:r w:rsidR="007A1589" w:rsidRPr="00C504BA">
        <w:rPr>
          <w:rFonts w:asciiTheme="majorHAnsi" w:hAnsiTheme="majorHAnsi"/>
          <w:i/>
          <w:noProof/>
          <w:color w:val="000000" w:themeColor="text1"/>
          <w:sz w:val="24"/>
          <w:szCs w:val="24"/>
          <w:lang w:val="sr-Latn-CS"/>
        </w:rPr>
        <w:t>Medicare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. </w:t>
      </w:r>
    </w:p>
    <w:p w:rsidR="005C07EF" w:rsidRPr="00C504BA" w:rsidRDefault="007A1589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i/>
          <w:noProof/>
          <w:color w:val="000000" w:themeColor="text1"/>
          <w:sz w:val="24"/>
          <w:szCs w:val="24"/>
          <w:lang w:val="sr-Latn-CS"/>
        </w:rPr>
        <w:t>Medicaid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је</w:t>
      </w:r>
      <w:r w:rsidR="005C07E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направљен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за</w:t>
      </w:r>
      <w:r w:rsidR="005C07E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људе лошијег имовинског стања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и свака федерална држава одређује ко се може пријавити за тај програм. </w:t>
      </w:r>
    </w:p>
    <w:p w:rsidR="00E776EC" w:rsidRPr="00C504BA" w:rsidRDefault="005C07EF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C504BA">
        <w:rPr>
          <w:rFonts w:asciiTheme="majorHAnsi" w:hAnsiTheme="majorHAnsi"/>
          <w:i/>
          <w:noProof/>
          <w:color w:val="000000" w:themeColor="text1"/>
          <w:sz w:val="24"/>
          <w:szCs w:val="24"/>
          <w:lang w:val="sr-Latn-CS"/>
        </w:rPr>
        <w:t>Medicare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је програм приватног осигурања кој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и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суфинан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ира држава,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гдје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у просјеку нешто мање од пола трошкова лијечења плати држава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,</w:t>
      </w:r>
      <w:r w:rsidR="007A1589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а остатак плаћа осигураник.</w:t>
      </w:r>
    </w:p>
    <w:p w:rsidR="006E7C54" w:rsidRPr="00C504BA" w:rsidRDefault="006E7C5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Највећи проблем америчког здравства јесу огромни трошкови. </w:t>
      </w:r>
    </w:p>
    <w:p w:rsidR="006E7C54" w:rsidRPr="00C504BA" w:rsidRDefault="006E7C5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Цијене здравствене заштите прекорачиле су економски раст у свакој претходној години. </w:t>
      </w:r>
    </w:p>
    <w:p w:rsidR="006E7C54" w:rsidRPr="00C504BA" w:rsidRDefault="006E7C5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 посљедњих 30 година регистрован је просјечан годишњи раст трошкова здравства и износио је 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око 9,80%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што је за 2,5 пута више од пораста нормалног БДП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-а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</w:t>
      </w:r>
    </w:p>
    <w:p w:rsidR="004E3548" w:rsidRPr="00C504BA" w:rsidRDefault="00A139E8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Како би побољшале </w:t>
      </w:r>
      <w:r w:rsidR="005C07E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систем здравствене зашти</w:t>
      </w:r>
      <w:r w:rsidR="004E354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те Сједињених Америчких Д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ржава, демократе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су 2010. године донијеле</w:t>
      </w:r>
      <w:r w:rsidR="005C07E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нови закон о здравственој заштити и њези пацијената.</w:t>
      </w:r>
      <w:r w:rsidR="007F5A7B" w:rsidRPr="00C504BA">
        <w:rPr>
          <w:rStyle w:val="FootnoteReference"/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footnoteReference w:id="12"/>
      </w:r>
      <w:r w:rsidR="005C07EF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</w:p>
    <w:p w:rsidR="009B3183" w:rsidRPr="00C504BA" w:rsidRDefault="004E3548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Програм нових мјера у здравству 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које су садржане у овом закону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назван је </w:t>
      </w:r>
      <w:r w:rsidRPr="00C504BA">
        <w:rPr>
          <w:rFonts w:asciiTheme="majorHAnsi" w:hAnsiTheme="majorHAnsi"/>
          <w:i/>
          <w:noProof/>
          <w:color w:val="000000" w:themeColor="text1"/>
          <w:sz w:val="24"/>
          <w:szCs w:val="24"/>
          <w:lang w:val="sr-Cyrl-RS"/>
        </w:rPr>
        <w:t>О</w:t>
      </w:r>
      <w:r w:rsidRPr="00C504BA">
        <w:rPr>
          <w:rFonts w:asciiTheme="majorHAnsi" w:hAnsiTheme="majorHAnsi"/>
          <w:i/>
          <w:noProof/>
          <w:color w:val="000000" w:themeColor="text1"/>
          <w:sz w:val="24"/>
          <w:szCs w:val="24"/>
          <w:lang w:val="sr-Latn-RS"/>
        </w:rPr>
        <w:t xml:space="preserve">bamacare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по тадашњем предсједни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ку Сједињених Америчких Држава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који је уједно и најзаслужнији за његово доношење.</w:t>
      </w:r>
    </w:p>
    <w:p w:rsidR="007F5A7B" w:rsidRPr="00C504BA" w:rsidRDefault="007F5A7B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lastRenderedPageBreak/>
        <w:t>Циљ овог програма је смањ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ење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велик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их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трошкове у здравству и омогућ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авање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да сви становници буду покривени приватним или државним осигурањем,</w:t>
      </w:r>
      <w:r w:rsidR="006E7C54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јер 15% америчког становништва није плаћало здравствено осиграње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. </w:t>
      </w:r>
    </w:p>
    <w:p w:rsidR="004456DE" w:rsidRPr="00C504BA" w:rsidRDefault="004456DE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Творци </w:t>
      </w:r>
      <w:r w:rsidRPr="00AF21B2">
        <w:rPr>
          <w:rFonts w:asciiTheme="majorHAnsi" w:hAnsiTheme="majorHAnsi"/>
          <w:i/>
          <w:noProof/>
          <w:color w:val="000000" w:themeColor="text1"/>
          <w:sz w:val="24"/>
          <w:szCs w:val="24"/>
          <w:lang w:val="sr-Cyrl-CS"/>
        </w:rPr>
        <w:t xml:space="preserve">Obamacarе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програма увели су обавезу послодавцима за куповање осигурања, то јест послодавци с више од 50 запосл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ених након 2014. </w:t>
      </w:r>
      <w:r w:rsidR="00572DB6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године морају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купити одобрену полису осигурања за запослене.</w:t>
      </w:r>
    </w:p>
    <w:p w:rsidR="004456DE" w:rsidRPr="00C504BA" w:rsidRDefault="0047549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За сваку компанију </w:t>
      </w:r>
      <w:r w:rsidR="00C33C94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чији запослени не плаћају здравствен</w:t>
      </w:r>
      <w:r w:rsidR="00DC0375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 осигурање тј. нису осигурани</w:t>
      </w:r>
      <w:r w:rsidR="00C33C94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, казна је износила око 2</w:t>
      </w:r>
      <w:r w:rsidR="00DC0375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.</w:t>
      </w:r>
      <w:r w:rsidR="00C33C94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000 долара</w:t>
      </w:r>
      <w:r w:rsidR="004456D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по запослен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ом</w:t>
      </w:r>
      <w:r w:rsidR="004456D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.</w:t>
      </w:r>
    </w:p>
    <w:p w:rsidR="004456DE" w:rsidRPr="00C504BA" w:rsidRDefault="004456DE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Појединици којима послодавац н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е обезбиједи осигурање 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обавезни су 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га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сами плаћати, а особе са нижим примањима</w:t>
      </w:r>
      <w:r w:rsidR="00572DB6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су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субвенционисане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од стране државе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.</w:t>
      </w:r>
    </w:p>
    <w:p w:rsidR="004E3548" w:rsidRPr="00C504BA" w:rsidRDefault="006E7C54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Пет година након што је донесен </w:t>
      </w:r>
      <w:r w:rsidRPr="00C504BA">
        <w:rPr>
          <w:rFonts w:asciiTheme="majorHAnsi" w:hAnsiTheme="majorHAnsi"/>
          <w:i/>
          <w:noProof/>
          <w:color w:val="000000" w:themeColor="text1"/>
          <w:sz w:val="24"/>
          <w:szCs w:val="24"/>
          <w:lang w:val="sr-Cyrl-CS"/>
        </w:rPr>
        <w:t>О</w:t>
      </w:r>
      <w:r w:rsidRPr="00C504BA">
        <w:rPr>
          <w:rFonts w:asciiTheme="majorHAnsi" w:hAnsiTheme="majorHAnsi"/>
          <w:i/>
          <w:noProof/>
          <w:color w:val="000000" w:themeColor="text1"/>
          <w:sz w:val="24"/>
          <w:szCs w:val="24"/>
          <w:lang w:val="sr-Latn-CS"/>
        </w:rPr>
        <w:t>bamacare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раст трошкова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се</w:t>
      </w:r>
      <w:r w:rsidR="004456DE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смањ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ио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,</w:t>
      </w:r>
      <w:r w:rsidR="00A139E8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 xml:space="preserve">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  <w:t>а такође и број нових запослених у здравству.</w:t>
      </w:r>
    </w:p>
    <w:p w:rsidR="00A139E8" w:rsidRPr="00C504BA" w:rsidRDefault="00A139E8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CS"/>
        </w:rPr>
      </w:pPr>
    </w:p>
    <w:p w:rsidR="005C07EF" w:rsidRPr="00C504BA" w:rsidRDefault="005C07EF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9B3183" w:rsidRPr="00C504BA" w:rsidRDefault="009B3183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9B3183" w:rsidRPr="00C504BA" w:rsidRDefault="009B3183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9F019F" w:rsidRPr="00C504BA" w:rsidRDefault="009F019F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</w:p>
    <w:p w:rsidR="00EB1385" w:rsidRPr="00C504BA" w:rsidRDefault="00EB1385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</w:p>
    <w:p w:rsidR="009F019F" w:rsidRPr="00C504BA" w:rsidRDefault="009F019F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F37149" w:rsidRDefault="00F37149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F37149" w:rsidRDefault="00F37149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F37149" w:rsidRPr="00C504BA" w:rsidRDefault="00F37149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91E8B" w:rsidRPr="00C504BA" w:rsidRDefault="00991E8B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9B3183" w:rsidRPr="00C504BA" w:rsidRDefault="009B3183" w:rsidP="00995DA5">
      <w:pPr>
        <w:pStyle w:val="Heading1"/>
        <w:spacing w:line="240" w:lineRule="auto"/>
        <w:jc w:val="both"/>
        <w:rPr>
          <w:noProof/>
          <w:color w:val="000000" w:themeColor="text1"/>
        </w:rPr>
      </w:pPr>
      <w:bookmarkStart w:id="11" w:name="_Toc517343914"/>
      <w:bookmarkStart w:id="12" w:name="_Toc529357371"/>
      <w:r w:rsidRPr="00C504BA">
        <w:rPr>
          <w:noProof/>
          <w:color w:val="000000" w:themeColor="text1"/>
          <w:lang w:val="sr-Cyrl-RS"/>
        </w:rPr>
        <w:t>ЗАКЉУЧАК</w:t>
      </w:r>
      <w:bookmarkEnd w:id="11"/>
      <w:bookmarkEnd w:id="12"/>
    </w:p>
    <w:p w:rsidR="00EB1385" w:rsidRPr="00C504BA" w:rsidRDefault="00EB1385" w:rsidP="00995DA5">
      <w:pPr>
        <w:spacing w:after="0" w:line="240" w:lineRule="auto"/>
        <w:jc w:val="both"/>
        <w:rPr>
          <w:rFonts w:asciiTheme="majorHAnsi" w:hAnsiTheme="majorHAnsi"/>
          <w:b/>
          <w:noProof/>
          <w:color w:val="000000" w:themeColor="text1"/>
          <w:sz w:val="28"/>
          <w:szCs w:val="28"/>
        </w:rPr>
      </w:pPr>
    </w:p>
    <w:p w:rsidR="00EB1385" w:rsidRPr="00C504BA" w:rsidRDefault="00DE610D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b/>
          <w:noProof/>
          <w:color w:val="000000" w:themeColor="text1"/>
          <w:sz w:val="28"/>
          <w:szCs w:val="28"/>
        </w:rPr>
        <w:lastRenderedPageBreak/>
        <w:tab/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Кроз истраживање и приказ организације здравс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твене заштите у неколико земаља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уочавамо да постоје и сличности и разлике у њиховим системима и организовању здравства. </w:t>
      </w:r>
    </w:p>
    <w:p w:rsidR="00DE610D" w:rsidRPr="00C504BA" w:rsidRDefault="00DE610D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ab/>
        <w:t xml:space="preserve">Оно што је заједничко свим земљама јесте да </w:t>
      </w:r>
      <w:r w:rsidR="00AF21B2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финансирање здравствене заштите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највише зависи од нивоа економског развоја земље. Земље са нижим националним дохотком ослањају се више на порезе који се лакше прикупљају.</w:t>
      </w:r>
      <w:r w:rsidR="00550604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Финансирањем из државног буџета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здравствена заштита постаје само још један од корисника буџетских средстава. </w:t>
      </w:r>
    </w:p>
    <w:p w:rsidR="00991E8B" w:rsidRPr="00C504BA" w:rsidRDefault="00AD5E05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ab/>
        <w:t xml:space="preserve">Такође, велики утицај на организацију здравствене заштите има политика. Свака промјена власти би утицала на избор приоритета у финансирању из буџета, поготово у кризним годинама када је недостатак буџетских прихода евидентан и расположива средства не покривају буџетске расходе. </w:t>
      </w:r>
    </w:p>
    <w:p w:rsidR="00AD5E05" w:rsidRPr="00C504BA" w:rsidRDefault="00AD5E05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Приходи у буџет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се обезбјеђују</w:t>
      </w:r>
      <w:r w:rsidR="00991E8B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наплатом различитих врста пореза на државном, регионалном или локалном нивоу. Порези могу бити општи или намјенски.</w:t>
      </w:r>
    </w:p>
    <w:p w:rsidR="00991E8B" w:rsidRPr="00C504BA" w:rsidRDefault="00991E8B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Систем здравствене заштите </w:t>
      </w:r>
      <w:r w:rsid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се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 Великој Британији, Португалији, Шпанији и Грчкој финансира из општих пореза. </w:t>
      </w:r>
    </w:p>
    <w:p w:rsidR="00991E8B" w:rsidRPr="00C504BA" w:rsidRDefault="00AF370F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 Данској, Норвешкој, Шведској и Финској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з</w:t>
      </w:r>
      <w:r w:rsidR="00572DB6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дравствена</w:t>
      </w:r>
      <w:r w:rsidR="00991E8B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заштита се финансира из регионалних пореза. </w:t>
      </w:r>
    </w:p>
    <w:p w:rsidR="005656C1" w:rsidRPr="00C504BA" w:rsidRDefault="005656C1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Здравствена заштита се финансира из намјенских пореза у Француској, док се у Белгији и Великој Британији један дио пореза на продају цигарета усмјерава за финансирање здравствене заштите.</w:t>
      </w:r>
    </w:p>
    <w:p w:rsidR="005656C1" w:rsidRPr="00C504BA" w:rsidRDefault="005656C1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Финансирање здравствене заштите из средстава локалне заједнице се оби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чно среће у сиромашним земљама 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у којима не постоји обавезно здр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авствено осигурање, као што су С</w:t>
      </w: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убсахарска Африка, </w:t>
      </w:r>
      <w:r w:rsidR="00E7654D"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Филипини, Индија. </w:t>
      </w:r>
    </w:p>
    <w:p w:rsidR="00E7654D" w:rsidRPr="00C504BA" w:rsidRDefault="00E7654D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На нивоу локалних заједница се организују шеме за прикупљање и трошење новца за примарну здравствену заштиту. Чланство у овим шемама је углавном добровољно, средства која се прикупе су често скромна и троше се за финансирање ограниченог броја и обима услуга. </w:t>
      </w:r>
    </w:p>
    <w:p w:rsidR="00E7654D" w:rsidRDefault="00E7654D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C504BA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Поједине земље често комбинују нека од обиљежја основних модела организације и финансирања здравствене заштите, као што је случај у Србији, Босни и Херцеговини, Хрватској и Македонији.</w:t>
      </w:r>
    </w:p>
    <w:p w:rsidR="00E7654D" w:rsidRDefault="00E7654D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</w:p>
    <w:p w:rsidR="00B17B92" w:rsidRDefault="00B17B92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</w:p>
    <w:p w:rsidR="00B17B92" w:rsidRDefault="00B17B92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</w:p>
    <w:p w:rsidR="00B17B92" w:rsidRDefault="00B17B92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</w:p>
    <w:p w:rsidR="00B17B92" w:rsidRDefault="00B17B92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</w:p>
    <w:p w:rsidR="00B17B92" w:rsidRPr="00B17B92" w:rsidRDefault="00B17B92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</w:p>
    <w:p w:rsidR="002E61B0" w:rsidRDefault="002E61B0" w:rsidP="00995DA5">
      <w:pPr>
        <w:spacing w:after="0" w:line="240" w:lineRule="auto"/>
        <w:ind w:firstLine="720"/>
        <w:jc w:val="both"/>
        <w:rPr>
          <w:rFonts w:asciiTheme="majorHAnsi" w:hAnsiTheme="majorHAnsi"/>
          <w:noProof/>
          <w:color w:val="000000" w:themeColor="text1"/>
          <w:sz w:val="24"/>
          <w:szCs w:val="24"/>
        </w:rPr>
      </w:pPr>
    </w:p>
    <w:p w:rsidR="00991E8B" w:rsidRPr="00E611DC" w:rsidRDefault="00991E8B" w:rsidP="00995DA5">
      <w:pPr>
        <w:spacing w:after="0" w:line="240" w:lineRule="auto"/>
        <w:jc w:val="both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</w:p>
    <w:p w:rsidR="009B3183" w:rsidRPr="009F3CB0" w:rsidRDefault="009B3183" w:rsidP="00995DA5">
      <w:pPr>
        <w:pStyle w:val="Heading1"/>
        <w:jc w:val="both"/>
        <w:rPr>
          <w:noProof/>
          <w:color w:val="000000" w:themeColor="text1"/>
          <w:lang w:val="sr-Cyrl-BA"/>
        </w:rPr>
      </w:pPr>
      <w:bookmarkStart w:id="13" w:name="_Toc517343915"/>
      <w:bookmarkStart w:id="14" w:name="_Toc529357372"/>
      <w:r w:rsidRPr="00AA05E9">
        <w:rPr>
          <w:noProof/>
          <w:color w:val="000000" w:themeColor="text1"/>
          <w:lang w:val="sr-Cyrl-RS"/>
        </w:rPr>
        <w:t>ИЗВОРИ</w:t>
      </w:r>
      <w:bookmarkEnd w:id="13"/>
      <w:r w:rsidR="009F3CB0">
        <w:rPr>
          <w:noProof/>
          <w:color w:val="000000" w:themeColor="text1"/>
        </w:rPr>
        <w:t xml:space="preserve"> </w:t>
      </w:r>
      <w:r w:rsidR="009F3CB0">
        <w:rPr>
          <w:noProof/>
          <w:color w:val="000000" w:themeColor="text1"/>
          <w:lang w:val="sr-Cyrl-BA"/>
        </w:rPr>
        <w:t>ПОДАТАКА</w:t>
      </w:r>
      <w:bookmarkEnd w:id="14"/>
    </w:p>
    <w:p w:rsidR="00B22790" w:rsidRPr="00AA05E9" w:rsidRDefault="00B22790" w:rsidP="00995DA5">
      <w:pPr>
        <w:spacing w:after="0" w:line="240" w:lineRule="auto"/>
        <w:jc w:val="both"/>
        <w:rPr>
          <w:rFonts w:asciiTheme="majorHAnsi" w:hAnsiTheme="majorHAnsi"/>
          <w:b/>
          <w:noProof/>
          <w:sz w:val="28"/>
          <w:szCs w:val="28"/>
          <w:lang w:val="sr-Cyrl-RS"/>
        </w:rPr>
      </w:pPr>
    </w:p>
    <w:p w:rsidR="00986D73" w:rsidRPr="00E611DC" w:rsidRDefault="00986D73" w:rsidP="00E611DC">
      <w:pPr>
        <w:spacing w:after="0" w:line="240" w:lineRule="auto"/>
        <w:jc w:val="both"/>
        <w:rPr>
          <w:rFonts w:asciiTheme="majorHAnsi" w:hAnsiTheme="majorHAnsi"/>
          <w:b/>
          <w:noProof/>
          <w:sz w:val="24"/>
          <w:szCs w:val="24"/>
          <w:lang w:val="sr-Cyrl-RS"/>
        </w:rPr>
      </w:pPr>
    </w:p>
    <w:p w:rsidR="00986D73" w:rsidRPr="00E611DC" w:rsidRDefault="006137E4" w:rsidP="00E611DC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lastRenderedPageBreak/>
        <w:t>1. Устав Републике Српске („</w:t>
      </w:r>
      <w:r w:rsidR="00986D73"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Службени  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гласник Републике Српске“, бр. </w:t>
      </w:r>
      <w:r w:rsidR="00986D73"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21/92, 28/94, 8/96, 13/96, 15/96,16/96, 21/96, 21/02, 26/02, 30/02, 31/02, 69/0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2, 31/03, 98/03, 115/05, 117/05 и</w:t>
      </w:r>
      <w:r w:rsidR="00986D73"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48/11)</w:t>
      </w:r>
    </w:p>
    <w:p w:rsidR="00986D73" w:rsidRPr="00E611DC" w:rsidRDefault="00986D73" w:rsidP="00E611DC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2. З</w:t>
      </w:r>
      <w:r w:rsid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акон о здравственом осигурању („</w:t>
      </w:r>
      <w:r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Сл</w:t>
      </w:r>
      <w:r w:rsid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ужбени гласник Републике Српске“, бр. </w:t>
      </w:r>
      <w:r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18/99, 51/01, 70/01, 51/03, 57/03</w:t>
      </w:r>
      <w:r w:rsid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, 17/08, 1/09, 106/09, 39/16 - О</w:t>
      </w:r>
      <w:r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длука УС и 110/16)</w:t>
      </w:r>
    </w:p>
    <w:p w:rsidR="00986D73" w:rsidRPr="00E611DC" w:rsidRDefault="006137E4" w:rsidP="00E611DC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3. Закон о здравственој заштити („</w:t>
      </w:r>
      <w:r w:rsidR="00986D73"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Слу</w:t>
      </w: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жбени гласник Републике Српске“, бр. 106/09 и </w:t>
      </w:r>
      <w:r w:rsidR="00986D73"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44/15)</w:t>
      </w:r>
    </w:p>
    <w:p w:rsidR="00986D73" w:rsidRPr="00E611DC" w:rsidRDefault="006137E4" w:rsidP="00E611DC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4. Закон о доприносима („Службени гласник“, број</w:t>
      </w:r>
      <w:r w:rsidR="00986D73"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114/17)</w:t>
      </w:r>
    </w:p>
    <w:p w:rsidR="00986D73" w:rsidRPr="00E611DC" w:rsidRDefault="00986D73" w:rsidP="00E611DC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5. Закон о Фонду солидарности за дијагностику и лијечење обољења, стања и </w:t>
      </w:r>
      <w:r w:rsid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повреда дјеце у иностранству („</w:t>
      </w:r>
      <w:r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Слу</w:t>
      </w:r>
      <w:r w:rsid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жбени гласник Републике Српске“, бр. 100/17 и</w:t>
      </w:r>
      <w:r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103/17)</w:t>
      </w:r>
    </w:p>
    <w:p w:rsidR="002975C6" w:rsidRDefault="002975C6" w:rsidP="00E611DC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6. Одлука о усвајању цј</w:t>
      </w:r>
      <w:r w:rsid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еновника здравствених услуга („</w:t>
      </w:r>
      <w:r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Слу</w:t>
      </w:r>
      <w:r w:rsid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жбени гласник Републике Српске“, број</w:t>
      </w:r>
      <w:r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86/17)</w:t>
      </w:r>
    </w:p>
    <w:p w:rsidR="00637537" w:rsidRDefault="00637537" w:rsidP="00E611DC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7.</w:t>
      </w:r>
      <w:r w:rsidRPr="00637537">
        <w:t xml:space="preserve"> 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Бабић, М. </w:t>
      </w:r>
      <w:r w:rsidRPr="0063753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Организација здравствене заштите – нив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ои организације и рад установа. </w:t>
      </w:r>
      <w:r w:rsidRPr="0063753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Медицински факултет Универзитета у Б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еограду. Београд, 2005.</w:t>
      </w:r>
      <w:r w:rsid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(с.</w:t>
      </w:r>
      <w:r w:rsid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1</w:t>
      </w:r>
      <w:r w:rsidRPr="0063753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)</w:t>
      </w:r>
    </w:p>
    <w:p w:rsidR="00637537" w:rsidRPr="00637537" w:rsidRDefault="00637537" w:rsidP="00637537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8. 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Максимовић, З. Менаџмент у здравству. </w:t>
      </w:r>
      <w:r w:rsidRPr="0063753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Медицнски факултет Универзитета у Бањој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Луци. Бања Лука, 2006.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(с. 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125</w:t>
      </w:r>
      <w:r w:rsidRPr="0063753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)</w:t>
      </w:r>
    </w:p>
    <w:p w:rsidR="00637537" w:rsidRPr="00E611DC" w:rsidRDefault="000B34AE" w:rsidP="00E611DC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9. 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Мићовић, П. </w:t>
      </w:r>
      <w:r w:rsidR="00637537" w:rsidRPr="0063753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Здравствени менаџмент: Менаџмент здравственог с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истема и здравствених установа. </w:t>
      </w:r>
      <w:r w:rsidR="00637537" w:rsidRPr="0063753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Комор</w:t>
      </w:r>
      <w:r w:rsidR="0047549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а здравствених установа Србије. Београд, 2008. (с. 71</w:t>
      </w:r>
      <w:r w:rsidR="00637537" w:rsidRPr="00637537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)</w:t>
      </w:r>
    </w:p>
    <w:p w:rsidR="00986D73" w:rsidRPr="00E611DC" w:rsidRDefault="00B17B92" w:rsidP="00E611DC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1</w:t>
      </w:r>
      <w:r>
        <w:rPr>
          <w:rFonts w:asciiTheme="majorHAnsi" w:hAnsiTheme="majorHAnsi"/>
          <w:noProof/>
          <w:color w:val="000000" w:themeColor="text1"/>
          <w:sz w:val="24"/>
          <w:szCs w:val="24"/>
        </w:rPr>
        <w:t>0</w:t>
      </w:r>
      <w:r w:rsidR="00986D73" w:rsidRP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.</w:t>
      </w:r>
      <w:r w:rsidR="00DE7F03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hyperlink r:id="rId9" w:history="1">
        <w:r w:rsidR="002D3867" w:rsidRPr="006137E4">
          <w:rPr>
            <w:rStyle w:val="Hyperlink"/>
            <w:rFonts w:asciiTheme="majorHAnsi" w:hAnsiTheme="majorHAnsi"/>
            <w:i/>
            <w:noProof/>
            <w:color w:val="000000" w:themeColor="text1"/>
            <w:sz w:val="24"/>
            <w:szCs w:val="24"/>
            <w:u w:val="none"/>
            <w:lang w:val="sr-Cyrl-RS"/>
          </w:rPr>
          <w:t>https://www.krankenkassenzentrale.de/wiki/gesetzliche-krankenversicherung</w:t>
        </w:r>
      </w:hyperlink>
      <w:r w:rsidR="00084C6E" w:rsidRPr="006137E4">
        <w:rPr>
          <w:rFonts w:asciiTheme="majorHAnsi" w:hAnsiTheme="majorHAnsi"/>
          <w:i/>
          <w:noProof/>
          <w:color w:val="000000" w:themeColor="text1"/>
          <w:sz w:val="24"/>
          <w:szCs w:val="24"/>
        </w:rPr>
        <w:t>,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</w:rPr>
        <w:t xml:space="preserve"> приступљено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</w:rPr>
        <w:t>3.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="00950C4F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7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. </w:t>
      </w:r>
      <w:r w:rsidR="002D3867" w:rsidRPr="00E611DC">
        <w:rPr>
          <w:rFonts w:asciiTheme="majorHAnsi" w:hAnsiTheme="majorHAnsi"/>
          <w:noProof/>
          <w:color w:val="000000" w:themeColor="text1"/>
          <w:sz w:val="24"/>
          <w:szCs w:val="24"/>
        </w:rPr>
        <w:t>2018. године</w:t>
      </w:r>
    </w:p>
    <w:p w:rsidR="00986D73" w:rsidRPr="006137E4" w:rsidRDefault="00B17B92" w:rsidP="00E611DC">
      <w:pPr>
        <w:spacing w:after="0"/>
        <w:rPr>
          <w:rFonts w:asciiTheme="majorHAnsi" w:hAnsiTheme="majorHAnsi"/>
          <w:i/>
          <w:noProof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1</w:t>
      </w:r>
      <w:r>
        <w:rPr>
          <w:rFonts w:asciiTheme="majorHAnsi" w:hAnsiTheme="majorHAnsi"/>
          <w:noProof/>
          <w:color w:val="000000" w:themeColor="text1"/>
          <w:sz w:val="24"/>
          <w:szCs w:val="24"/>
        </w:rPr>
        <w:t>1</w:t>
      </w:r>
      <w:r w:rsidR="00E611DC" w:rsidRPr="006137E4">
        <w:rPr>
          <w:rFonts w:asciiTheme="majorHAnsi" w:hAnsiTheme="majorHAnsi"/>
          <w:i/>
          <w:noProof/>
          <w:color w:val="000000" w:themeColor="text1"/>
          <w:sz w:val="24"/>
          <w:szCs w:val="24"/>
          <w:lang w:val="sr-Cyrl-RS"/>
        </w:rPr>
        <w:t>.</w:t>
      </w:r>
      <w:r w:rsidR="00DE7F03" w:rsidRPr="006137E4">
        <w:rPr>
          <w:rFonts w:asciiTheme="majorHAnsi" w:hAnsiTheme="majorHAnsi"/>
          <w:i/>
          <w:noProof/>
          <w:color w:val="000000" w:themeColor="text1"/>
          <w:sz w:val="24"/>
          <w:szCs w:val="24"/>
          <w:lang w:val="sr-Cyrl-RS"/>
        </w:rPr>
        <w:t xml:space="preserve"> </w:t>
      </w:r>
      <w:hyperlink r:id="rId10" w:history="1">
        <w:r w:rsidR="00986D73" w:rsidRPr="006137E4">
          <w:rPr>
            <w:rStyle w:val="Hyperlink"/>
            <w:rFonts w:asciiTheme="majorHAnsi" w:hAnsiTheme="majorHAnsi"/>
            <w:i/>
            <w:noProof/>
            <w:color w:val="000000" w:themeColor="text1"/>
            <w:sz w:val="24"/>
            <w:szCs w:val="24"/>
            <w:u w:val="none"/>
            <w:lang w:val="sr-Cyrl-RS"/>
          </w:rPr>
          <w:t>https://www.gov.uk/government/organisations/department-of-health-and-social-care</w:t>
        </w:r>
      </w:hyperlink>
      <w:r w:rsidR="00084C6E">
        <w:rPr>
          <w:rStyle w:val="Hyperlink"/>
          <w:rFonts w:asciiTheme="majorHAnsi" w:hAnsiTheme="majorHAnsi"/>
          <w:noProof/>
          <w:color w:val="000000" w:themeColor="text1"/>
          <w:sz w:val="24"/>
          <w:szCs w:val="24"/>
          <w:u w:val="none"/>
        </w:rPr>
        <w:t>, приступљено 3.</w:t>
      </w:r>
      <w:r w:rsidR="00084C6E">
        <w:rPr>
          <w:rStyle w:val="Hyperlink"/>
          <w:rFonts w:asciiTheme="majorHAnsi" w:hAnsiTheme="majorHAnsi"/>
          <w:noProof/>
          <w:color w:val="000000" w:themeColor="text1"/>
          <w:sz w:val="24"/>
          <w:szCs w:val="24"/>
          <w:u w:val="none"/>
          <w:lang w:val="sr-Cyrl-RS"/>
        </w:rPr>
        <w:t xml:space="preserve"> </w:t>
      </w:r>
      <w:r w:rsidR="00084C6E">
        <w:rPr>
          <w:rStyle w:val="Hyperlink"/>
          <w:rFonts w:asciiTheme="majorHAnsi" w:hAnsiTheme="majorHAnsi"/>
          <w:noProof/>
          <w:color w:val="000000" w:themeColor="text1"/>
          <w:sz w:val="24"/>
          <w:szCs w:val="24"/>
          <w:u w:val="none"/>
        </w:rPr>
        <w:t>7</w:t>
      </w:r>
      <w:r w:rsidR="00084C6E">
        <w:rPr>
          <w:rStyle w:val="Hyperlink"/>
          <w:rFonts w:asciiTheme="majorHAnsi" w:hAnsiTheme="majorHAnsi"/>
          <w:noProof/>
          <w:color w:val="000000" w:themeColor="text1"/>
          <w:sz w:val="24"/>
          <w:szCs w:val="24"/>
          <w:u w:val="none"/>
          <w:lang w:val="sr-Cyrl-RS"/>
        </w:rPr>
        <w:t xml:space="preserve">. </w:t>
      </w:r>
      <w:r w:rsidR="002D3867" w:rsidRPr="00E611DC">
        <w:rPr>
          <w:rStyle w:val="Hyperlink"/>
          <w:rFonts w:asciiTheme="majorHAnsi" w:hAnsiTheme="majorHAnsi"/>
          <w:noProof/>
          <w:color w:val="000000" w:themeColor="text1"/>
          <w:sz w:val="24"/>
          <w:szCs w:val="24"/>
          <w:u w:val="none"/>
        </w:rPr>
        <w:t>2018. године</w:t>
      </w:r>
    </w:p>
    <w:p w:rsidR="00986D73" w:rsidRPr="00E611DC" w:rsidRDefault="00B17B92" w:rsidP="00E611DC">
      <w:pPr>
        <w:spacing w:after="0"/>
        <w:rPr>
          <w:rFonts w:asciiTheme="majorHAnsi" w:hAnsiTheme="majorHAnsi"/>
          <w:noProof/>
          <w:color w:val="000000" w:themeColor="text1"/>
          <w:sz w:val="24"/>
          <w:szCs w:val="24"/>
        </w:rPr>
      </w:pPr>
      <w:r w:rsidRPr="006137E4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>1</w:t>
      </w:r>
      <w:r w:rsidRPr="006137E4">
        <w:rPr>
          <w:rFonts w:asciiTheme="majorHAnsi" w:hAnsiTheme="majorHAnsi"/>
          <w:noProof/>
          <w:color w:val="000000" w:themeColor="text1"/>
          <w:sz w:val="24"/>
          <w:szCs w:val="24"/>
        </w:rPr>
        <w:t>2</w:t>
      </w:r>
      <w:r w:rsidR="00986D73" w:rsidRPr="006137E4">
        <w:rPr>
          <w:rFonts w:asciiTheme="majorHAnsi" w:hAnsiTheme="majorHAnsi"/>
          <w:i/>
          <w:noProof/>
          <w:color w:val="000000" w:themeColor="text1"/>
          <w:sz w:val="24"/>
          <w:szCs w:val="24"/>
          <w:lang w:val="sr-Cyrl-RS"/>
        </w:rPr>
        <w:t>.</w:t>
      </w:r>
      <w:r w:rsidR="00DE7F03" w:rsidRPr="006137E4">
        <w:rPr>
          <w:rFonts w:asciiTheme="majorHAnsi" w:hAnsiTheme="majorHAnsi"/>
          <w:i/>
          <w:noProof/>
          <w:color w:val="000000" w:themeColor="text1"/>
          <w:sz w:val="24"/>
          <w:szCs w:val="24"/>
          <w:lang w:val="sr-Cyrl-RS"/>
        </w:rPr>
        <w:t xml:space="preserve"> </w:t>
      </w:r>
      <w:hyperlink r:id="rId11" w:history="1">
        <w:r w:rsidR="002D3867" w:rsidRPr="006137E4">
          <w:rPr>
            <w:rStyle w:val="Hyperlink"/>
            <w:rFonts w:asciiTheme="majorHAnsi" w:hAnsiTheme="majorHAnsi"/>
            <w:i/>
            <w:noProof/>
            <w:color w:val="000000" w:themeColor="text1"/>
            <w:sz w:val="24"/>
            <w:szCs w:val="24"/>
            <w:u w:val="none"/>
            <w:lang w:val="sr-Cyrl-RS"/>
          </w:rPr>
          <w:t>http://www.who.int/mediacentre/events/governance/wha/en/</w:t>
        </w:r>
      </w:hyperlink>
      <w:r w:rsidR="002D3867" w:rsidRPr="00E611DC">
        <w:rPr>
          <w:rFonts w:asciiTheme="majorHAnsi" w:hAnsiTheme="majorHAnsi"/>
          <w:noProof/>
          <w:color w:val="000000" w:themeColor="text1"/>
          <w:sz w:val="24"/>
          <w:szCs w:val="24"/>
        </w:rPr>
        <w:t>,</w:t>
      </w:r>
      <w:r w:rsidR="00E611DC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</w:rPr>
        <w:t>приступљено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</w:rPr>
        <w:t>4.</w:t>
      </w:r>
      <w:r w:rsidR="00084C6E">
        <w:rPr>
          <w:rFonts w:asciiTheme="majorHAnsi" w:hAnsiTheme="majorHAnsi"/>
          <w:noProof/>
          <w:color w:val="000000" w:themeColor="text1"/>
          <w:sz w:val="24"/>
          <w:szCs w:val="24"/>
          <w:lang w:val="sr-Cyrl-RS"/>
        </w:rPr>
        <w:t xml:space="preserve"> 7. </w:t>
      </w:r>
      <w:r w:rsidR="002D3867" w:rsidRPr="00E611DC">
        <w:rPr>
          <w:rFonts w:asciiTheme="majorHAnsi" w:hAnsiTheme="majorHAnsi"/>
          <w:noProof/>
          <w:color w:val="000000" w:themeColor="text1"/>
          <w:sz w:val="24"/>
          <w:szCs w:val="24"/>
        </w:rPr>
        <w:t>2018. године</w:t>
      </w:r>
    </w:p>
    <w:p w:rsidR="00B22790" w:rsidRPr="00E611DC" w:rsidRDefault="00B22790" w:rsidP="00995DA5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6F0700" w:rsidRDefault="006F0700" w:rsidP="00537507">
      <w:pPr>
        <w:spacing w:after="0" w:line="240" w:lineRule="auto"/>
        <w:ind w:firstLine="36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560B62" w:rsidRDefault="00560B62" w:rsidP="00537507">
      <w:pPr>
        <w:spacing w:after="0" w:line="240" w:lineRule="auto"/>
        <w:ind w:firstLine="36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560B62" w:rsidRPr="00560B62" w:rsidRDefault="00560B62" w:rsidP="00537507">
      <w:pPr>
        <w:spacing w:after="0" w:line="240" w:lineRule="auto"/>
        <w:ind w:firstLine="36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ED1EBD" w:rsidRDefault="00ED1EBD" w:rsidP="00537507">
      <w:pPr>
        <w:spacing w:after="0" w:line="240" w:lineRule="auto"/>
        <w:ind w:firstLine="360"/>
        <w:jc w:val="both"/>
        <w:rPr>
          <w:rFonts w:asciiTheme="majorHAnsi" w:hAnsiTheme="majorHAnsi"/>
          <w:noProof/>
          <w:sz w:val="24"/>
          <w:szCs w:val="24"/>
        </w:rPr>
      </w:pPr>
    </w:p>
    <w:p w:rsidR="00ED1EBD" w:rsidRDefault="00ED1EBD" w:rsidP="00537507">
      <w:pPr>
        <w:spacing w:after="0" w:line="240" w:lineRule="auto"/>
        <w:ind w:firstLine="360"/>
        <w:jc w:val="both"/>
        <w:rPr>
          <w:rFonts w:asciiTheme="majorHAnsi" w:hAnsiTheme="majorHAnsi"/>
          <w:noProof/>
          <w:sz w:val="24"/>
          <w:szCs w:val="24"/>
        </w:rPr>
      </w:pPr>
    </w:p>
    <w:p w:rsidR="00ED1EBD" w:rsidRPr="00ED1EBD" w:rsidRDefault="00ED1EBD" w:rsidP="00537507">
      <w:pPr>
        <w:spacing w:after="0" w:line="240" w:lineRule="auto"/>
        <w:ind w:firstLine="360"/>
        <w:jc w:val="both"/>
        <w:rPr>
          <w:rFonts w:asciiTheme="majorHAnsi" w:hAnsiTheme="majorHAnsi"/>
          <w:noProof/>
          <w:sz w:val="24"/>
          <w:szCs w:val="24"/>
        </w:rPr>
      </w:pPr>
    </w:p>
    <w:p w:rsidR="006F0700" w:rsidRDefault="006F0700" w:rsidP="00537507">
      <w:pPr>
        <w:spacing w:after="0" w:line="240" w:lineRule="auto"/>
        <w:ind w:firstLine="36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6F0700" w:rsidRDefault="006F0700" w:rsidP="00537507">
      <w:pPr>
        <w:spacing w:after="0" w:line="240" w:lineRule="auto"/>
        <w:ind w:firstLine="36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EF56CB" w:rsidRPr="00B17B92" w:rsidRDefault="00EF56CB" w:rsidP="00537507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</w:rPr>
      </w:pPr>
    </w:p>
    <w:sectPr w:rsidR="00EF56CB" w:rsidRPr="00B17B92" w:rsidSect="005553E9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F5" w:rsidRDefault="00B77BF5" w:rsidP="00146CE6">
      <w:pPr>
        <w:spacing w:after="0" w:line="240" w:lineRule="auto"/>
      </w:pPr>
      <w:r>
        <w:separator/>
      </w:r>
    </w:p>
  </w:endnote>
  <w:endnote w:type="continuationSeparator" w:id="0">
    <w:p w:rsidR="00B77BF5" w:rsidRDefault="00B77BF5" w:rsidP="0014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00122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53E9" w:rsidRDefault="005553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37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553E9" w:rsidRDefault="005553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F5" w:rsidRDefault="00B77BF5" w:rsidP="00146CE6">
      <w:pPr>
        <w:spacing w:after="0" w:line="240" w:lineRule="auto"/>
      </w:pPr>
      <w:r>
        <w:separator/>
      </w:r>
    </w:p>
  </w:footnote>
  <w:footnote w:type="continuationSeparator" w:id="0">
    <w:p w:rsidR="00B77BF5" w:rsidRDefault="00B77BF5" w:rsidP="00146CE6">
      <w:pPr>
        <w:spacing w:after="0" w:line="240" w:lineRule="auto"/>
      </w:pPr>
      <w:r>
        <w:continuationSeparator/>
      </w:r>
    </w:p>
  </w:footnote>
  <w:footnote w:id="1">
    <w:p w:rsidR="00600FC3" w:rsidRPr="007F5808" w:rsidRDefault="00600FC3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0730B2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0730B2">
        <w:rPr>
          <w:rFonts w:asciiTheme="majorHAnsi" w:hAnsiTheme="majorHAnsi"/>
          <w:sz w:val="16"/>
          <w:szCs w:val="16"/>
        </w:rPr>
        <w:t xml:space="preserve"> </w:t>
      </w:r>
      <w:r w:rsidR="004C738D">
        <w:rPr>
          <w:rFonts w:asciiTheme="majorHAnsi" w:hAnsiTheme="majorHAnsi"/>
          <w:sz w:val="16"/>
          <w:szCs w:val="16"/>
          <w:lang w:val="sr-Cyrl-RS"/>
        </w:rPr>
        <w:t>Бабић, М</w:t>
      </w:r>
      <w:r w:rsidR="00E020A4">
        <w:rPr>
          <w:rFonts w:asciiTheme="majorHAnsi" w:hAnsiTheme="majorHAnsi"/>
          <w:sz w:val="16"/>
          <w:szCs w:val="16"/>
        </w:rPr>
        <w:t xml:space="preserve">. </w:t>
      </w:r>
      <w:r w:rsidR="002975C6" w:rsidRPr="000730B2">
        <w:rPr>
          <w:rFonts w:asciiTheme="majorHAnsi" w:hAnsiTheme="majorHAnsi"/>
          <w:sz w:val="16"/>
          <w:szCs w:val="16"/>
          <w:lang w:val="sr-Cyrl-RS"/>
        </w:rPr>
        <w:t>Организација здравствене заштите – нивои организације и рад установа</w:t>
      </w:r>
      <w:r w:rsidR="007F5808">
        <w:rPr>
          <w:rFonts w:asciiTheme="majorHAnsi" w:hAnsiTheme="majorHAnsi"/>
          <w:sz w:val="16"/>
          <w:szCs w:val="16"/>
          <w:lang w:val="sr-Cyrl-RS"/>
        </w:rPr>
        <w:t xml:space="preserve">. </w:t>
      </w:r>
      <w:r w:rsidR="004C738D">
        <w:rPr>
          <w:rFonts w:asciiTheme="majorHAnsi" w:hAnsiTheme="majorHAnsi"/>
          <w:sz w:val="16"/>
          <w:szCs w:val="16"/>
          <w:lang w:val="sr-Cyrl-RS"/>
        </w:rPr>
        <w:t>Медиц</w:t>
      </w:r>
      <w:r w:rsidR="00637537">
        <w:rPr>
          <w:rFonts w:asciiTheme="majorHAnsi" w:hAnsiTheme="majorHAnsi"/>
          <w:sz w:val="16"/>
          <w:szCs w:val="16"/>
          <w:lang w:val="sr-Cyrl-RS"/>
        </w:rPr>
        <w:t>ински</w:t>
      </w:r>
      <w:r w:rsidR="004C738D">
        <w:rPr>
          <w:rFonts w:asciiTheme="majorHAnsi" w:hAnsiTheme="majorHAnsi"/>
          <w:sz w:val="16"/>
          <w:szCs w:val="16"/>
          <w:lang w:val="sr-Cyrl-RS"/>
        </w:rPr>
        <w:t xml:space="preserve"> факултет</w:t>
      </w:r>
      <w:r w:rsidR="007F5808">
        <w:rPr>
          <w:rFonts w:asciiTheme="majorHAnsi" w:hAnsiTheme="majorHAnsi"/>
          <w:sz w:val="16"/>
          <w:szCs w:val="16"/>
          <w:lang w:val="sr-Cyrl-RS"/>
        </w:rPr>
        <w:t xml:space="preserve"> Универзитета у Београду. </w:t>
      </w:r>
      <w:r w:rsidR="006E5CF4">
        <w:rPr>
          <w:rFonts w:asciiTheme="majorHAnsi" w:hAnsiTheme="majorHAnsi"/>
          <w:sz w:val="16"/>
          <w:szCs w:val="16"/>
          <w:lang w:val="sr-Cyrl-RS"/>
        </w:rPr>
        <w:t>Београд, 2005</w:t>
      </w:r>
      <w:r w:rsidR="006E5CF4">
        <w:rPr>
          <w:rFonts w:asciiTheme="majorHAnsi" w:hAnsiTheme="majorHAnsi"/>
          <w:sz w:val="16"/>
          <w:szCs w:val="16"/>
        </w:rPr>
        <w:t>.</w:t>
      </w:r>
      <w:r w:rsidR="00637537">
        <w:rPr>
          <w:rFonts w:asciiTheme="majorHAnsi" w:hAnsiTheme="majorHAnsi"/>
          <w:sz w:val="16"/>
          <w:szCs w:val="16"/>
          <w:lang w:val="sr-Cyrl-RS"/>
        </w:rPr>
        <w:t xml:space="preserve"> </w:t>
      </w:r>
      <w:r w:rsidR="007F5808">
        <w:rPr>
          <w:rFonts w:asciiTheme="majorHAnsi" w:hAnsiTheme="majorHAnsi"/>
          <w:sz w:val="16"/>
          <w:szCs w:val="16"/>
          <w:lang w:val="sr-Cyrl-RS"/>
        </w:rPr>
        <w:t>(с.</w:t>
      </w:r>
      <w:r w:rsidR="002975C6" w:rsidRPr="000730B2">
        <w:rPr>
          <w:rFonts w:asciiTheme="majorHAnsi" w:hAnsiTheme="majorHAnsi"/>
          <w:sz w:val="16"/>
          <w:szCs w:val="16"/>
          <w:lang w:val="sr-Cyrl-RS"/>
        </w:rPr>
        <w:t xml:space="preserve"> 1</w:t>
      </w:r>
      <w:r w:rsidR="007F5808">
        <w:rPr>
          <w:rFonts w:asciiTheme="majorHAnsi" w:hAnsiTheme="majorHAnsi"/>
          <w:sz w:val="16"/>
          <w:szCs w:val="16"/>
          <w:lang w:val="sr-Cyrl-RS"/>
        </w:rPr>
        <w:t>)</w:t>
      </w:r>
    </w:p>
  </w:footnote>
  <w:footnote w:id="2">
    <w:p w:rsidR="006B5D8A" w:rsidRPr="000730B2" w:rsidRDefault="006B5D8A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0730B2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0730B2">
        <w:rPr>
          <w:rFonts w:asciiTheme="majorHAnsi" w:hAnsiTheme="majorHAnsi"/>
          <w:sz w:val="16"/>
          <w:szCs w:val="16"/>
        </w:rPr>
        <w:t xml:space="preserve"> </w:t>
      </w:r>
      <w:r w:rsidR="00CE57C0" w:rsidRPr="000730B2">
        <w:rPr>
          <w:rFonts w:asciiTheme="majorHAnsi" w:hAnsiTheme="majorHAnsi"/>
          <w:sz w:val="16"/>
          <w:szCs w:val="16"/>
          <w:lang w:val="sr-Cyrl-RS"/>
        </w:rPr>
        <w:t xml:space="preserve">Максимовић, </w:t>
      </w:r>
      <w:r w:rsidR="00E020A4">
        <w:rPr>
          <w:rFonts w:asciiTheme="majorHAnsi" w:hAnsiTheme="majorHAnsi"/>
          <w:sz w:val="16"/>
          <w:szCs w:val="16"/>
          <w:lang w:val="sr-Cyrl-RS"/>
        </w:rPr>
        <w:t>З.</w:t>
      </w:r>
      <w:r w:rsidR="00E020A4">
        <w:rPr>
          <w:rFonts w:asciiTheme="majorHAnsi" w:hAnsiTheme="majorHAnsi"/>
          <w:sz w:val="16"/>
          <w:szCs w:val="16"/>
        </w:rPr>
        <w:t xml:space="preserve"> </w:t>
      </w:r>
      <w:r w:rsidR="00E020A4">
        <w:rPr>
          <w:rFonts w:asciiTheme="majorHAnsi" w:hAnsiTheme="majorHAnsi"/>
          <w:sz w:val="16"/>
          <w:szCs w:val="16"/>
          <w:lang w:val="sr-Cyrl-RS"/>
        </w:rPr>
        <w:t>Менаџмент у здравству</w:t>
      </w:r>
      <w:r w:rsidR="00E020A4">
        <w:rPr>
          <w:rFonts w:asciiTheme="majorHAnsi" w:hAnsiTheme="majorHAnsi"/>
          <w:sz w:val="16"/>
          <w:szCs w:val="16"/>
        </w:rPr>
        <w:t>.</w:t>
      </w:r>
      <w:r w:rsidR="00637537">
        <w:rPr>
          <w:rFonts w:asciiTheme="majorHAnsi" w:hAnsiTheme="majorHAnsi"/>
          <w:sz w:val="16"/>
          <w:szCs w:val="16"/>
          <w:lang w:val="sr-Cyrl-RS"/>
        </w:rPr>
        <w:t xml:space="preserve"> Медицнски факултет </w:t>
      </w:r>
      <w:r w:rsidR="00E020A4">
        <w:rPr>
          <w:rFonts w:asciiTheme="majorHAnsi" w:hAnsiTheme="majorHAnsi"/>
          <w:sz w:val="16"/>
          <w:szCs w:val="16"/>
          <w:lang w:val="sr-Cyrl-RS"/>
        </w:rPr>
        <w:t>Универзитета у Бањој Луци</w:t>
      </w:r>
      <w:r w:rsidR="00E020A4">
        <w:rPr>
          <w:rFonts w:asciiTheme="majorHAnsi" w:hAnsiTheme="majorHAnsi"/>
          <w:sz w:val="16"/>
          <w:szCs w:val="16"/>
        </w:rPr>
        <w:t xml:space="preserve">. </w:t>
      </w:r>
      <w:r w:rsidR="006E5CF4">
        <w:rPr>
          <w:rFonts w:asciiTheme="majorHAnsi" w:hAnsiTheme="majorHAnsi"/>
          <w:sz w:val="16"/>
          <w:szCs w:val="16"/>
          <w:lang w:val="sr-Cyrl-RS"/>
        </w:rPr>
        <w:t>Бања Лука, 2006</w:t>
      </w:r>
      <w:r w:rsidR="006E5CF4">
        <w:rPr>
          <w:rFonts w:asciiTheme="majorHAnsi" w:hAnsiTheme="majorHAnsi"/>
          <w:sz w:val="16"/>
          <w:szCs w:val="16"/>
        </w:rPr>
        <w:t xml:space="preserve">. </w:t>
      </w:r>
      <w:r w:rsidR="00E020A4">
        <w:rPr>
          <w:rFonts w:asciiTheme="majorHAnsi" w:hAnsiTheme="majorHAnsi"/>
          <w:sz w:val="16"/>
          <w:szCs w:val="16"/>
          <w:lang w:val="sr-Cyrl-RS"/>
        </w:rPr>
        <w:t>(с. 125</w:t>
      </w:r>
      <w:r w:rsidR="00B51817" w:rsidRPr="000730B2">
        <w:rPr>
          <w:rFonts w:asciiTheme="majorHAnsi" w:hAnsiTheme="majorHAnsi"/>
          <w:sz w:val="16"/>
          <w:szCs w:val="16"/>
          <w:lang w:val="sr-Cyrl-RS"/>
        </w:rPr>
        <w:t>)</w:t>
      </w:r>
      <w:r w:rsidR="00527D9D"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3">
    <w:p w:rsidR="003D5CB1" w:rsidRPr="003D5CB1" w:rsidRDefault="003D5CB1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0730B2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0730B2">
        <w:rPr>
          <w:rFonts w:asciiTheme="majorHAnsi" w:hAnsiTheme="majorHAnsi"/>
          <w:sz w:val="16"/>
          <w:szCs w:val="16"/>
        </w:rPr>
        <w:t xml:space="preserve"> </w:t>
      </w:r>
      <w:r w:rsidR="00E020A4">
        <w:rPr>
          <w:rFonts w:asciiTheme="majorHAnsi" w:hAnsiTheme="majorHAnsi"/>
          <w:sz w:val="16"/>
          <w:szCs w:val="16"/>
          <w:lang w:val="sr-Cyrl-RS"/>
        </w:rPr>
        <w:t>Мићовић, П.</w:t>
      </w:r>
      <w:r w:rsidR="00637537">
        <w:rPr>
          <w:rFonts w:asciiTheme="majorHAnsi" w:hAnsiTheme="majorHAnsi"/>
          <w:sz w:val="16"/>
          <w:szCs w:val="16"/>
          <w:lang w:val="sr-Cyrl-RS"/>
        </w:rPr>
        <w:t xml:space="preserve">  </w:t>
      </w:r>
      <w:r w:rsidRPr="000730B2">
        <w:rPr>
          <w:rFonts w:asciiTheme="majorHAnsi" w:hAnsiTheme="majorHAnsi"/>
          <w:sz w:val="16"/>
          <w:szCs w:val="16"/>
          <w:lang w:val="sr-Cyrl-RS"/>
        </w:rPr>
        <w:t xml:space="preserve">Здравствени менаџмент: Менаџмент здравственог </w:t>
      </w:r>
      <w:r w:rsidR="00637537">
        <w:rPr>
          <w:rFonts w:asciiTheme="majorHAnsi" w:hAnsiTheme="majorHAnsi"/>
          <w:sz w:val="16"/>
          <w:szCs w:val="16"/>
          <w:lang w:val="sr-Cyrl-RS"/>
        </w:rPr>
        <w:t>с</w:t>
      </w:r>
      <w:r w:rsidR="00E020A4">
        <w:rPr>
          <w:rFonts w:asciiTheme="majorHAnsi" w:hAnsiTheme="majorHAnsi"/>
          <w:sz w:val="16"/>
          <w:szCs w:val="16"/>
          <w:lang w:val="sr-Cyrl-RS"/>
        </w:rPr>
        <w:t>истема и здравствених установа</w:t>
      </w:r>
      <w:r w:rsidR="00E020A4">
        <w:rPr>
          <w:rFonts w:asciiTheme="majorHAnsi" w:hAnsiTheme="majorHAnsi"/>
          <w:sz w:val="16"/>
          <w:szCs w:val="16"/>
        </w:rPr>
        <w:t xml:space="preserve">. </w:t>
      </w:r>
      <w:r w:rsidR="00637537">
        <w:rPr>
          <w:rFonts w:asciiTheme="majorHAnsi" w:hAnsiTheme="majorHAnsi"/>
          <w:sz w:val="16"/>
          <w:szCs w:val="16"/>
          <w:lang w:val="sr-Cyrl-RS"/>
        </w:rPr>
        <w:t>Комора здравствених у</w:t>
      </w:r>
      <w:r w:rsidR="00054A71">
        <w:rPr>
          <w:rFonts w:asciiTheme="majorHAnsi" w:hAnsiTheme="majorHAnsi"/>
          <w:sz w:val="16"/>
          <w:szCs w:val="16"/>
          <w:lang w:val="sr-Cyrl-RS"/>
        </w:rPr>
        <w:t>станова Србије</w:t>
      </w:r>
      <w:r w:rsidR="00054A71">
        <w:rPr>
          <w:rFonts w:asciiTheme="majorHAnsi" w:hAnsiTheme="majorHAnsi"/>
          <w:sz w:val="16"/>
          <w:szCs w:val="16"/>
        </w:rPr>
        <w:t xml:space="preserve">. </w:t>
      </w:r>
      <w:r w:rsidR="00E020A4">
        <w:rPr>
          <w:rFonts w:asciiTheme="majorHAnsi" w:hAnsiTheme="majorHAnsi"/>
          <w:sz w:val="16"/>
          <w:szCs w:val="16"/>
          <w:lang w:val="sr-Cyrl-RS"/>
        </w:rPr>
        <w:t>Београд, 2008.</w:t>
      </w:r>
      <w:r w:rsidR="00E020A4">
        <w:rPr>
          <w:rFonts w:asciiTheme="majorHAnsi" w:hAnsiTheme="majorHAnsi"/>
          <w:sz w:val="16"/>
          <w:szCs w:val="16"/>
        </w:rPr>
        <w:t xml:space="preserve"> </w:t>
      </w:r>
      <w:r w:rsidR="00E020A4">
        <w:rPr>
          <w:rFonts w:asciiTheme="majorHAnsi" w:hAnsiTheme="majorHAnsi"/>
          <w:sz w:val="16"/>
          <w:szCs w:val="16"/>
          <w:lang w:val="sr-Cyrl-RS"/>
        </w:rPr>
        <w:t>(с</w:t>
      </w:r>
      <w:r w:rsidR="00E020A4">
        <w:rPr>
          <w:rFonts w:asciiTheme="majorHAnsi" w:hAnsiTheme="majorHAnsi"/>
          <w:sz w:val="16"/>
          <w:szCs w:val="16"/>
        </w:rPr>
        <w:t xml:space="preserve">. </w:t>
      </w:r>
      <w:r w:rsidR="00E020A4">
        <w:rPr>
          <w:rFonts w:asciiTheme="majorHAnsi" w:hAnsiTheme="majorHAnsi"/>
          <w:sz w:val="16"/>
          <w:szCs w:val="16"/>
          <w:lang w:val="sr-Cyrl-RS"/>
        </w:rPr>
        <w:t>71</w:t>
      </w:r>
      <w:r w:rsidRPr="000730B2">
        <w:rPr>
          <w:rFonts w:asciiTheme="majorHAnsi" w:hAnsiTheme="majorHAnsi"/>
          <w:sz w:val="16"/>
          <w:szCs w:val="16"/>
          <w:lang w:val="sr-Cyrl-RS"/>
        </w:rPr>
        <w:t>)</w:t>
      </w:r>
      <w:r w:rsidR="00527D9D"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4">
    <w:p w:rsidR="00837883" w:rsidRPr="00670DCB" w:rsidRDefault="00837883" w:rsidP="00837883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670DCB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670DCB">
        <w:rPr>
          <w:rFonts w:asciiTheme="majorHAnsi" w:hAnsiTheme="majorHAnsi"/>
          <w:sz w:val="16"/>
          <w:szCs w:val="16"/>
        </w:rPr>
        <w:t xml:space="preserve"> </w:t>
      </w:r>
      <w:r w:rsidRPr="00670DCB">
        <w:rPr>
          <w:rFonts w:asciiTheme="majorHAnsi" w:hAnsiTheme="majorHAnsi"/>
          <w:sz w:val="16"/>
          <w:szCs w:val="16"/>
          <w:lang w:val="sr-Cyrl-RS"/>
        </w:rPr>
        <w:t xml:space="preserve">Устав Републике Српске (,,Службени </w:t>
      </w:r>
      <w:r w:rsidR="004B5C48" w:rsidRPr="00670DCB">
        <w:rPr>
          <w:rFonts w:asciiTheme="majorHAnsi" w:hAnsiTheme="majorHAnsi"/>
          <w:sz w:val="16"/>
          <w:szCs w:val="16"/>
          <w:lang w:val="sr-Cyrl-RS"/>
        </w:rPr>
        <w:t xml:space="preserve"> гласник Републике Српске“, бр. </w:t>
      </w:r>
      <w:r w:rsidRPr="00670DCB">
        <w:rPr>
          <w:rFonts w:asciiTheme="majorHAnsi" w:hAnsiTheme="majorHAnsi"/>
          <w:sz w:val="16"/>
          <w:szCs w:val="16"/>
          <w:lang w:val="sr-Cyrl-RS"/>
        </w:rPr>
        <w:t xml:space="preserve">21/92, 28/94, 8/96, 13/96, 15/96, </w:t>
      </w:r>
    </w:p>
    <w:p w:rsidR="00837883" w:rsidRPr="00670DCB" w:rsidRDefault="00837883" w:rsidP="00837883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670DCB">
        <w:rPr>
          <w:rFonts w:asciiTheme="majorHAnsi" w:hAnsiTheme="majorHAnsi"/>
          <w:sz w:val="16"/>
          <w:szCs w:val="16"/>
          <w:lang w:val="sr-Cyrl-RS"/>
        </w:rPr>
        <w:t>16/96, 21/96, 21/02, 26/02, 30/02, 31/02, 69/0</w:t>
      </w:r>
      <w:r w:rsidR="00C85CA5">
        <w:rPr>
          <w:rFonts w:asciiTheme="majorHAnsi" w:hAnsiTheme="majorHAnsi"/>
          <w:sz w:val="16"/>
          <w:szCs w:val="16"/>
          <w:lang w:val="sr-Cyrl-RS"/>
        </w:rPr>
        <w:t>2, 31/03, 98/03, 115/05, 117/05 и</w:t>
      </w:r>
      <w:r w:rsidRPr="00670DCB">
        <w:rPr>
          <w:rFonts w:asciiTheme="majorHAnsi" w:hAnsiTheme="majorHAnsi"/>
          <w:sz w:val="16"/>
          <w:szCs w:val="16"/>
          <w:lang w:val="sr-Cyrl-RS"/>
        </w:rPr>
        <w:t xml:space="preserve"> 48/11)</w:t>
      </w:r>
      <w:r w:rsidR="00C85CA5"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5">
    <w:p w:rsidR="004B5C48" w:rsidRPr="00670DCB" w:rsidRDefault="004B5C48" w:rsidP="004B5C48">
      <w:pPr>
        <w:pStyle w:val="FootnoteText"/>
        <w:rPr>
          <w:rFonts w:asciiTheme="majorHAnsi" w:hAnsiTheme="majorHAnsi"/>
          <w:noProof/>
          <w:sz w:val="16"/>
          <w:szCs w:val="16"/>
          <w:lang w:val="sr-Cyrl-CS"/>
        </w:rPr>
      </w:pPr>
      <w:r w:rsidRPr="00670DCB">
        <w:rPr>
          <w:rStyle w:val="FootnoteReference"/>
          <w:rFonts w:asciiTheme="majorHAnsi" w:hAnsiTheme="majorHAnsi"/>
          <w:noProof/>
          <w:sz w:val="16"/>
          <w:szCs w:val="16"/>
          <w:lang w:val="sr-Cyrl-CS"/>
        </w:rPr>
        <w:footnoteRef/>
      </w:r>
      <w:r w:rsidRPr="00670DCB">
        <w:rPr>
          <w:rFonts w:asciiTheme="majorHAnsi" w:hAnsiTheme="majorHAnsi"/>
          <w:noProof/>
          <w:sz w:val="16"/>
          <w:szCs w:val="16"/>
          <w:lang w:val="sr-Cyrl-CS"/>
        </w:rPr>
        <w:t xml:space="preserve"> З</w:t>
      </w:r>
      <w:r w:rsidR="007F5808">
        <w:rPr>
          <w:rFonts w:asciiTheme="majorHAnsi" w:hAnsiTheme="majorHAnsi"/>
          <w:noProof/>
          <w:sz w:val="16"/>
          <w:szCs w:val="16"/>
          <w:lang w:val="sr-Cyrl-CS"/>
        </w:rPr>
        <w:t>акон о здравственом осигурању („</w:t>
      </w:r>
      <w:r w:rsidRPr="00670DCB">
        <w:rPr>
          <w:rFonts w:asciiTheme="majorHAnsi" w:hAnsiTheme="majorHAnsi"/>
          <w:noProof/>
          <w:sz w:val="16"/>
          <w:szCs w:val="16"/>
          <w:lang w:val="sr-Cyrl-CS"/>
        </w:rPr>
        <w:t>Сл</w:t>
      </w:r>
      <w:r w:rsidR="007F5808">
        <w:rPr>
          <w:rFonts w:asciiTheme="majorHAnsi" w:hAnsiTheme="majorHAnsi"/>
          <w:noProof/>
          <w:sz w:val="16"/>
          <w:szCs w:val="16"/>
          <w:lang w:val="sr-Cyrl-CS"/>
        </w:rPr>
        <w:t>ужбени гласник Републике Српск</w:t>
      </w:r>
      <w:r w:rsidR="006E5CF4">
        <w:rPr>
          <w:rFonts w:asciiTheme="majorHAnsi" w:hAnsiTheme="majorHAnsi"/>
          <w:noProof/>
          <w:sz w:val="16"/>
          <w:szCs w:val="16"/>
        </w:rPr>
        <w:t>e</w:t>
      </w:r>
      <w:r w:rsidR="007F5808">
        <w:rPr>
          <w:rFonts w:asciiTheme="majorHAnsi" w:hAnsiTheme="majorHAnsi"/>
          <w:noProof/>
          <w:sz w:val="16"/>
          <w:szCs w:val="16"/>
          <w:lang w:val="sr-Cyrl-CS"/>
        </w:rPr>
        <w:t>“</w:t>
      </w:r>
      <w:r w:rsidR="00C85CA5">
        <w:rPr>
          <w:rFonts w:asciiTheme="majorHAnsi" w:hAnsiTheme="majorHAnsi"/>
          <w:noProof/>
          <w:sz w:val="16"/>
          <w:szCs w:val="16"/>
          <w:lang w:val="sr-Cyrl-CS"/>
        </w:rPr>
        <w:t xml:space="preserve">, бр. </w:t>
      </w:r>
      <w:r w:rsidRPr="00670DCB">
        <w:rPr>
          <w:rFonts w:asciiTheme="majorHAnsi" w:hAnsiTheme="majorHAnsi"/>
          <w:noProof/>
          <w:sz w:val="16"/>
          <w:szCs w:val="16"/>
          <w:lang w:val="sr-Cyrl-CS"/>
        </w:rPr>
        <w:t>18/99, 51/01, 70/01, 51/03, 57/03, 17/08, 1/09, 106/09, 39</w:t>
      </w:r>
      <w:r w:rsidR="00C85CA5">
        <w:rPr>
          <w:rFonts w:asciiTheme="majorHAnsi" w:hAnsiTheme="majorHAnsi"/>
          <w:noProof/>
          <w:sz w:val="16"/>
          <w:szCs w:val="16"/>
          <w:lang w:val="sr-Cyrl-CS"/>
        </w:rPr>
        <w:t>/16 - О</w:t>
      </w:r>
      <w:r w:rsidRPr="00670DCB">
        <w:rPr>
          <w:rFonts w:asciiTheme="majorHAnsi" w:hAnsiTheme="majorHAnsi"/>
          <w:noProof/>
          <w:sz w:val="16"/>
          <w:szCs w:val="16"/>
          <w:lang w:val="sr-Cyrl-CS"/>
        </w:rPr>
        <w:t>длука УС и 110/16)</w:t>
      </w:r>
      <w:r w:rsidR="00C85CA5">
        <w:rPr>
          <w:rFonts w:asciiTheme="majorHAnsi" w:hAnsiTheme="majorHAnsi"/>
          <w:noProof/>
          <w:sz w:val="16"/>
          <w:szCs w:val="16"/>
          <w:lang w:val="sr-Cyrl-CS"/>
        </w:rPr>
        <w:t>.</w:t>
      </w:r>
    </w:p>
  </w:footnote>
  <w:footnote w:id="6">
    <w:p w:rsidR="004B5C48" w:rsidRPr="009F019F" w:rsidRDefault="004B5C48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670DCB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670DCB">
        <w:rPr>
          <w:rFonts w:asciiTheme="majorHAnsi" w:hAnsiTheme="majorHAnsi"/>
          <w:sz w:val="16"/>
          <w:szCs w:val="16"/>
        </w:rPr>
        <w:t xml:space="preserve"> </w:t>
      </w:r>
      <w:r w:rsidR="007F5808">
        <w:rPr>
          <w:rFonts w:asciiTheme="majorHAnsi" w:hAnsiTheme="majorHAnsi"/>
          <w:sz w:val="16"/>
          <w:szCs w:val="16"/>
          <w:lang w:val="sr-Cyrl-RS"/>
        </w:rPr>
        <w:t>Закон о здравственој заштити („</w:t>
      </w:r>
      <w:r w:rsidRPr="00670DCB">
        <w:rPr>
          <w:rFonts w:asciiTheme="majorHAnsi" w:hAnsiTheme="majorHAnsi"/>
          <w:sz w:val="16"/>
          <w:szCs w:val="16"/>
          <w:lang w:val="sr-Cyrl-RS"/>
        </w:rPr>
        <w:t>Служб</w:t>
      </w:r>
      <w:r w:rsidR="007F5808">
        <w:rPr>
          <w:rFonts w:asciiTheme="majorHAnsi" w:hAnsiTheme="majorHAnsi"/>
          <w:sz w:val="16"/>
          <w:szCs w:val="16"/>
          <w:lang w:val="sr-Cyrl-RS"/>
        </w:rPr>
        <w:t xml:space="preserve">ени гласник Републике Српске“, </w:t>
      </w:r>
      <w:r w:rsidRPr="00670DCB">
        <w:rPr>
          <w:rFonts w:asciiTheme="majorHAnsi" w:hAnsiTheme="majorHAnsi"/>
          <w:sz w:val="16"/>
          <w:szCs w:val="16"/>
          <w:lang w:val="sr-Cyrl-RS"/>
        </w:rPr>
        <w:t>бр.</w:t>
      </w:r>
      <w:r w:rsidR="009F019F" w:rsidRPr="00670DCB">
        <w:rPr>
          <w:rFonts w:asciiTheme="majorHAnsi" w:hAnsiTheme="majorHAnsi"/>
          <w:sz w:val="16"/>
          <w:szCs w:val="16"/>
          <w:lang w:val="sr-Cyrl-RS"/>
        </w:rPr>
        <w:t xml:space="preserve"> </w:t>
      </w:r>
      <w:r w:rsidR="00C85CA5">
        <w:rPr>
          <w:rFonts w:asciiTheme="majorHAnsi" w:hAnsiTheme="majorHAnsi"/>
          <w:sz w:val="16"/>
          <w:szCs w:val="16"/>
          <w:lang w:val="sr-Cyrl-RS"/>
        </w:rPr>
        <w:t xml:space="preserve">106/09 и </w:t>
      </w:r>
      <w:r w:rsidRPr="00670DCB">
        <w:rPr>
          <w:rFonts w:asciiTheme="majorHAnsi" w:hAnsiTheme="majorHAnsi"/>
          <w:sz w:val="16"/>
          <w:szCs w:val="16"/>
          <w:lang w:val="sr-Cyrl-RS"/>
        </w:rPr>
        <w:t>44/15)</w:t>
      </w:r>
      <w:r w:rsidR="00C85CA5"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7">
    <w:p w:rsidR="00995912" w:rsidRPr="00C35F4E" w:rsidRDefault="00995912">
      <w:pPr>
        <w:pStyle w:val="FootnoteText"/>
      </w:pPr>
      <w:r w:rsidRPr="009F019F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9F019F">
        <w:rPr>
          <w:rFonts w:asciiTheme="majorHAnsi" w:hAnsiTheme="majorHAnsi"/>
          <w:sz w:val="16"/>
          <w:szCs w:val="16"/>
        </w:rPr>
        <w:t xml:space="preserve"> </w:t>
      </w:r>
      <w:r w:rsidRPr="009F019F">
        <w:rPr>
          <w:rFonts w:asciiTheme="majorHAnsi" w:hAnsiTheme="majorHAnsi"/>
          <w:sz w:val="16"/>
          <w:szCs w:val="16"/>
          <w:lang w:val="sr-Cyrl-RS"/>
        </w:rPr>
        <w:t xml:space="preserve">Закон о доприносима </w:t>
      </w:r>
      <w:r w:rsidR="006E5CF4">
        <w:rPr>
          <w:rFonts w:asciiTheme="majorHAnsi" w:hAnsiTheme="majorHAnsi"/>
          <w:sz w:val="16"/>
          <w:szCs w:val="16"/>
          <w:lang w:val="sr-Cyrl-RS"/>
        </w:rPr>
        <w:t>(„Службени гласник</w:t>
      </w:r>
      <w:r w:rsidR="006E5CF4">
        <w:rPr>
          <w:rFonts w:asciiTheme="majorHAnsi" w:hAnsiTheme="majorHAnsi"/>
          <w:sz w:val="16"/>
          <w:szCs w:val="16"/>
        </w:rPr>
        <w:t xml:space="preserve"> </w:t>
      </w:r>
      <w:r w:rsidR="005176FC">
        <w:rPr>
          <w:rFonts w:asciiTheme="majorHAnsi" w:hAnsiTheme="majorHAnsi"/>
          <w:sz w:val="16"/>
          <w:szCs w:val="16"/>
          <w:lang w:val="sr-Cyrl-RS"/>
        </w:rPr>
        <w:t>Републике Српске</w:t>
      </w:r>
      <w:r w:rsidR="006E5CF4">
        <w:rPr>
          <w:rFonts w:asciiTheme="majorHAnsi" w:hAnsiTheme="majorHAnsi"/>
          <w:sz w:val="16"/>
          <w:szCs w:val="16"/>
          <w:lang w:val="sr-Latn-RS"/>
        </w:rPr>
        <w:t>“</w:t>
      </w:r>
      <w:r w:rsidR="005176FC">
        <w:rPr>
          <w:rFonts w:asciiTheme="majorHAnsi" w:hAnsiTheme="majorHAnsi"/>
          <w:sz w:val="16"/>
          <w:szCs w:val="16"/>
          <w:lang w:val="sr-Cyrl-RS"/>
        </w:rPr>
        <w:t xml:space="preserve">, </w:t>
      </w:r>
      <w:r w:rsidR="009F019F" w:rsidRPr="009F019F">
        <w:rPr>
          <w:rFonts w:asciiTheme="majorHAnsi" w:hAnsiTheme="majorHAnsi"/>
          <w:sz w:val="16"/>
          <w:szCs w:val="16"/>
          <w:lang w:val="sr-Cyrl-RS"/>
        </w:rPr>
        <w:t>бр. 114/17)</w:t>
      </w:r>
      <w:r w:rsidR="00C85CA5"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8">
    <w:p w:rsidR="00945AAC" w:rsidRPr="0088469E" w:rsidRDefault="00945AAC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88469E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88469E">
        <w:rPr>
          <w:rFonts w:asciiTheme="majorHAnsi" w:hAnsiTheme="majorHAnsi"/>
          <w:sz w:val="16"/>
          <w:szCs w:val="16"/>
        </w:rPr>
        <w:t xml:space="preserve"> </w:t>
      </w:r>
      <w:r w:rsidRPr="0088469E">
        <w:rPr>
          <w:rFonts w:asciiTheme="majorHAnsi" w:hAnsiTheme="majorHAnsi"/>
          <w:sz w:val="16"/>
          <w:szCs w:val="16"/>
          <w:lang w:val="sr-Cyrl-RS"/>
        </w:rPr>
        <w:t xml:space="preserve">Закон о Фонду солидарности за дијагностику и лијечење обољења, стања и </w:t>
      </w:r>
      <w:r w:rsidR="007F5808">
        <w:rPr>
          <w:rFonts w:asciiTheme="majorHAnsi" w:hAnsiTheme="majorHAnsi"/>
          <w:sz w:val="16"/>
          <w:szCs w:val="16"/>
          <w:lang w:val="sr-Cyrl-RS"/>
        </w:rPr>
        <w:t>повреда дјеце у иностранству („</w:t>
      </w:r>
      <w:r w:rsidRPr="0088469E">
        <w:rPr>
          <w:rFonts w:asciiTheme="majorHAnsi" w:hAnsiTheme="majorHAnsi"/>
          <w:sz w:val="16"/>
          <w:szCs w:val="16"/>
          <w:lang w:val="sr-Cyrl-RS"/>
        </w:rPr>
        <w:t>Службени гласник</w:t>
      </w:r>
      <w:r w:rsidR="0088469E">
        <w:rPr>
          <w:rFonts w:asciiTheme="majorHAnsi" w:hAnsiTheme="majorHAnsi"/>
          <w:sz w:val="16"/>
          <w:szCs w:val="16"/>
          <w:lang w:val="sr-Cyrl-RS"/>
        </w:rPr>
        <w:t xml:space="preserve"> </w:t>
      </w:r>
      <w:r w:rsidRPr="0088469E">
        <w:rPr>
          <w:rFonts w:asciiTheme="majorHAnsi" w:hAnsiTheme="majorHAnsi"/>
          <w:sz w:val="16"/>
          <w:szCs w:val="16"/>
          <w:lang w:val="sr-Cyrl-RS"/>
        </w:rPr>
        <w:t>Републике Српске</w:t>
      </w:r>
      <w:r w:rsidR="007F5808">
        <w:rPr>
          <w:rFonts w:asciiTheme="majorHAnsi" w:hAnsiTheme="majorHAnsi"/>
          <w:sz w:val="16"/>
          <w:szCs w:val="16"/>
          <w:lang w:val="sr-Cyrl-RS"/>
        </w:rPr>
        <w:t>“</w:t>
      </w:r>
      <w:r w:rsidRPr="0088469E">
        <w:rPr>
          <w:rFonts w:asciiTheme="majorHAnsi" w:hAnsiTheme="majorHAnsi"/>
          <w:sz w:val="16"/>
          <w:szCs w:val="16"/>
          <w:lang w:val="sr-Cyrl-RS"/>
        </w:rPr>
        <w:t>,</w:t>
      </w:r>
      <w:r w:rsidR="0088469E">
        <w:rPr>
          <w:rFonts w:asciiTheme="majorHAnsi" w:hAnsiTheme="majorHAnsi"/>
          <w:sz w:val="16"/>
          <w:szCs w:val="16"/>
          <w:lang w:val="sr-Cyrl-RS"/>
        </w:rPr>
        <w:t xml:space="preserve"> </w:t>
      </w:r>
      <w:r w:rsidR="00C85CA5">
        <w:rPr>
          <w:rFonts w:asciiTheme="majorHAnsi" w:hAnsiTheme="majorHAnsi"/>
          <w:sz w:val="16"/>
          <w:szCs w:val="16"/>
          <w:lang w:val="sr-Cyrl-RS"/>
        </w:rPr>
        <w:t xml:space="preserve"> бр. 100/17 и</w:t>
      </w:r>
      <w:r w:rsidR="00C35F4E">
        <w:rPr>
          <w:rFonts w:asciiTheme="majorHAnsi" w:hAnsiTheme="majorHAnsi"/>
          <w:sz w:val="16"/>
          <w:szCs w:val="16"/>
          <w:lang w:val="sr-Cyrl-RS"/>
        </w:rPr>
        <w:t xml:space="preserve"> 103/17)</w:t>
      </w:r>
      <w:r w:rsidR="00C85CA5"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9">
    <w:p w:rsidR="00E11B2B" w:rsidRPr="00E11B2B" w:rsidRDefault="00E11B2B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E11B2B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E11B2B">
        <w:rPr>
          <w:rFonts w:asciiTheme="majorHAnsi" w:hAnsiTheme="majorHAnsi"/>
          <w:sz w:val="16"/>
          <w:szCs w:val="16"/>
        </w:rPr>
        <w:t xml:space="preserve"> </w:t>
      </w:r>
      <w:r w:rsidRPr="00E11B2B">
        <w:rPr>
          <w:rFonts w:asciiTheme="majorHAnsi" w:hAnsiTheme="majorHAnsi"/>
          <w:sz w:val="16"/>
          <w:szCs w:val="16"/>
          <w:lang w:val="sr-Cyrl-RS"/>
        </w:rPr>
        <w:t>Одлука о усвајању цјеновника здравствених услуга (</w:t>
      </w:r>
      <w:r w:rsidR="007F5808">
        <w:rPr>
          <w:rFonts w:asciiTheme="majorHAnsi" w:hAnsiTheme="majorHAnsi"/>
          <w:sz w:val="16"/>
          <w:szCs w:val="16"/>
          <w:lang w:val="sr-Cyrl-RS"/>
        </w:rPr>
        <w:t>„</w:t>
      </w:r>
      <w:r w:rsidR="006E5CF4">
        <w:rPr>
          <w:rFonts w:asciiTheme="majorHAnsi" w:hAnsiTheme="majorHAnsi"/>
          <w:sz w:val="16"/>
          <w:szCs w:val="16"/>
          <w:lang w:val="sr-Cyrl-RS"/>
        </w:rPr>
        <w:t>Службени гласник</w:t>
      </w:r>
      <w:r w:rsidR="00475494">
        <w:rPr>
          <w:rFonts w:asciiTheme="majorHAnsi" w:hAnsiTheme="majorHAnsi"/>
          <w:sz w:val="16"/>
          <w:szCs w:val="16"/>
          <w:lang w:val="sr-Cyrl-RS"/>
        </w:rPr>
        <w:t xml:space="preserve"> </w:t>
      </w:r>
      <w:r w:rsidR="006E5CF4">
        <w:rPr>
          <w:rFonts w:asciiTheme="majorHAnsi" w:hAnsiTheme="majorHAnsi"/>
          <w:sz w:val="16"/>
          <w:szCs w:val="16"/>
          <w:lang w:val="sr-Cyrl-RS"/>
        </w:rPr>
        <w:t>Републике Српске“</w:t>
      </w:r>
      <w:r w:rsidRPr="00E11B2B">
        <w:rPr>
          <w:rFonts w:asciiTheme="majorHAnsi" w:hAnsiTheme="majorHAnsi"/>
          <w:sz w:val="16"/>
          <w:szCs w:val="16"/>
          <w:lang w:val="sr-Cyrl-RS"/>
        </w:rPr>
        <w:t>, бр. 86/17)</w:t>
      </w:r>
    </w:p>
  </w:footnote>
  <w:footnote w:id="10">
    <w:p w:rsidR="00C24AE8" w:rsidRPr="003704F3" w:rsidRDefault="00C24AE8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3704F3">
        <w:rPr>
          <w:rStyle w:val="FootnoteReference"/>
          <w:rFonts w:asciiTheme="majorHAnsi" w:hAnsiTheme="majorHAnsi"/>
          <w:i/>
          <w:sz w:val="16"/>
          <w:szCs w:val="16"/>
        </w:rPr>
        <w:footnoteRef/>
      </w:r>
      <w:r w:rsidRPr="003704F3">
        <w:rPr>
          <w:rFonts w:asciiTheme="majorHAnsi" w:hAnsiTheme="majorHAnsi"/>
          <w:i/>
          <w:sz w:val="16"/>
          <w:szCs w:val="16"/>
        </w:rPr>
        <w:t xml:space="preserve"> </w:t>
      </w:r>
      <w:hyperlink r:id="rId1" w:history="1">
        <w:r w:rsidR="005A094C" w:rsidRPr="003704F3">
          <w:rPr>
            <w:rStyle w:val="Hyperlink"/>
            <w:rFonts w:asciiTheme="majorHAnsi" w:hAnsiTheme="majorHAnsi"/>
            <w:i/>
            <w:color w:val="000000" w:themeColor="text1"/>
            <w:sz w:val="16"/>
            <w:szCs w:val="16"/>
            <w:u w:val="none"/>
          </w:rPr>
          <w:t>https://www.krankenkassenzentrale.de/wiki/gesetzliche-krankenversicherung</w:t>
        </w:r>
      </w:hyperlink>
      <w:r w:rsidR="00475494"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, </w:t>
      </w:r>
      <w:r w:rsidR="00475494">
        <w:rPr>
          <w:rFonts w:asciiTheme="majorHAnsi" w:hAnsiTheme="majorHAnsi"/>
          <w:color w:val="000000" w:themeColor="text1"/>
          <w:sz w:val="16"/>
          <w:szCs w:val="16"/>
        </w:rPr>
        <w:t>приступљено</w:t>
      </w:r>
      <w:r w:rsidR="00475494"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 3. 7. </w:t>
      </w:r>
      <w:r w:rsidR="005A094C" w:rsidRPr="005A094C">
        <w:rPr>
          <w:rFonts w:asciiTheme="majorHAnsi" w:hAnsiTheme="majorHAnsi"/>
          <w:color w:val="000000" w:themeColor="text1"/>
          <w:sz w:val="16"/>
          <w:szCs w:val="16"/>
        </w:rPr>
        <w:t xml:space="preserve">2018. </w:t>
      </w:r>
      <w:r w:rsidR="003704F3">
        <w:rPr>
          <w:rFonts w:asciiTheme="majorHAnsi" w:hAnsiTheme="majorHAnsi"/>
          <w:color w:val="000000" w:themeColor="text1"/>
          <w:sz w:val="16"/>
          <w:szCs w:val="16"/>
        </w:rPr>
        <w:t>г</w:t>
      </w:r>
      <w:r w:rsidR="005A094C" w:rsidRPr="005A094C">
        <w:rPr>
          <w:rFonts w:asciiTheme="majorHAnsi" w:hAnsiTheme="majorHAnsi"/>
          <w:color w:val="000000" w:themeColor="text1"/>
          <w:sz w:val="16"/>
          <w:szCs w:val="16"/>
        </w:rPr>
        <w:t>одине</w:t>
      </w:r>
      <w:r w:rsidR="003704F3">
        <w:rPr>
          <w:rFonts w:asciiTheme="majorHAnsi" w:hAnsiTheme="majorHAnsi"/>
          <w:color w:val="000000" w:themeColor="text1"/>
          <w:sz w:val="16"/>
          <w:szCs w:val="16"/>
          <w:lang w:val="sr-Cyrl-RS"/>
        </w:rPr>
        <w:t>.</w:t>
      </w:r>
    </w:p>
  </w:footnote>
  <w:footnote w:id="11">
    <w:p w:rsidR="003573FE" w:rsidRPr="003704F3" w:rsidRDefault="003573FE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3704F3">
        <w:rPr>
          <w:rStyle w:val="FootnoteReference"/>
          <w:rFonts w:asciiTheme="majorHAnsi" w:hAnsiTheme="majorHAnsi"/>
          <w:i/>
          <w:color w:val="000000" w:themeColor="text1"/>
          <w:sz w:val="16"/>
          <w:szCs w:val="16"/>
        </w:rPr>
        <w:footnoteRef/>
      </w:r>
      <w:r w:rsidRPr="003704F3">
        <w:rPr>
          <w:rFonts w:asciiTheme="majorHAnsi" w:hAnsiTheme="majorHAnsi"/>
          <w:i/>
          <w:color w:val="000000" w:themeColor="text1"/>
          <w:sz w:val="16"/>
          <w:szCs w:val="16"/>
        </w:rPr>
        <w:t xml:space="preserve"> </w:t>
      </w:r>
      <w:hyperlink r:id="rId2" w:history="1">
        <w:r w:rsidR="005A094C" w:rsidRPr="003704F3">
          <w:rPr>
            <w:rStyle w:val="Hyperlink"/>
            <w:rFonts w:asciiTheme="majorHAnsi" w:hAnsiTheme="majorHAnsi"/>
            <w:i/>
            <w:color w:val="000000" w:themeColor="text1"/>
            <w:sz w:val="16"/>
            <w:szCs w:val="16"/>
            <w:u w:val="none"/>
          </w:rPr>
          <w:t>https://www.gov.uk/government/organisations/department-of-health-and-social-care</w:t>
        </w:r>
      </w:hyperlink>
      <w:r w:rsidR="005A094C" w:rsidRPr="005A094C">
        <w:rPr>
          <w:rFonts w:asciiTheme="majorHAnsi" w:hAnsiTheme="majorHAnsi"/>
          <w:color w:val="000000" w:themeColor="text1"/>
          <w:sz w:val="16"/>
          <w:szCs w:val="16"/>
        </w:rPr>
        <w:t xml:space="preserve">, </w:t>
      </w:r>
      <w:r w:rsidR="00475494">
        <w:rPr>
          <w:rFonts w:asciiTheme="majorHAnsi" w:hAnsiTheme="majorHAnsi"/>
          <w:color w:val="000000" w:themeColor="text1"/>
          <w:sz w:val="16"/>
          <w:szCs w:val="16"/>
        </w:rPr>
        <w:t>приступљено 3</w:t>
      </w:r>
      <w:r w:rsidR="00475494"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. </w:t>
      </w:r>
      <w:r w:rsidR="00475494">
        <w:rPr>
          <w:rFonts w:asciiTheme="majorHAnsi" w:hAnsiTheme="majorHAnsi"/>
          <w:color w:val="000000" w:themeColor="text1"/>
          <w:sz w:val="16"/>
          <w:szCs w:val="16"/>
        </w:rPr>
        <w:t>7</w:t>
      </w:r>
      <w:r w:rsidR="00475494"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. </w:t>
      </w:r>
      <w:r w:rsidR="005A094C" w:rsidRPr="005A094C">
        <w:rPr>
          <w:rFonts w:asciiTheme="majorHAnsi" w:hAnsiTheme="majorHAnsi"/>
          <w:color w:val="000000" w:themeColor="text1"/>
          <w:sz w:val="16"/>
          <w:szCs w:val="16"/>
        </w:rPr>
        <w:t xml:space="preserve">2018. </w:t>
      </w:r>
      <w:r w:rsidR="003704F3">
        <w:rPr>
          <w:rFonts w:asciiTheme="majorHAnsi" w:hAnsiTheme="majorHAnsi"/>
          <w:color w:val="000000" w:themeColor="text1"/>
          <w:sz w:val="16"/>
          <w:szCs w:val="16"/>
        </w:rPr>
        <w:t>г</w:t>
      </w:r>
      <w:r w:rsidR="005A094C" w:rsidRPr="005A094C">
        <w:rPr>
          <w:rFonts w:asciiTheme="majorHAnsi" w:hAnsiTheme="majorHAnsi"/>
          <w:color w:val="000000" w:themeColor="text1"/>
          <w:sz w:val="16"/>
          <w:szCs w:val="16"/>
        </w:rPr>
        <w:t>одине</w:t>
      </w:r>
      <w:r w:rsidR="003704F3">
        <w:rPr>
          <w:rFonts w:asciiTheme="majorHAnsi" w:hAnsiTheme="majorHAnsi"/>
          <w:color w:val="000000" w:themeColor="text1"/>
          <w:sz w:val="16"/>
          <w:szCs w:val="16"/>
          <w:lang w:val="sr-Cyrl-RS"/>
        </w:rPr>
        <w:t>.</w:t>
      </w:r>
    </w:p>
  </w:footnote>
  <w:footnote w:id="12">
    <w:p w:rsidR="007F5A7B" w:rsidRPr="00AF21B2" w:rsidRDefault="007F5A7B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5A094C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5A094C">
        <w:rPr>
          <w:rFonts w:asciiTheme="majorHAnsi" w:hAnsiTheme="majorHAnsi"/>
          <w:sz w:val="16"/>
          <w:szCs w:val="16"/>
        </w:rPr>
        <w:t xml:space="preserve"> </w:t>
      </w:r>
      <w:hyperlink r:id="rId3" w:history="1">
        <w:r w:rsidR="005A094C" w:rsidRPr="00AF21B2">
          <w:rPr>
            <w:rStyle w:val="Hyperlink"/>
            <w:rFonts w:asciiTheme="majorHAnsi" w:hAnsiTheme="majorHAnsi"/>
            <w:i/>
            <w:color w:val="auto"/>
            <w:sz w:val="16"/>
            <w:szCs w:val="16"/>
            <w:u w:val="none"/>
          </w:rPr>
          <w:t>http://www.who.int/mediacentre/events/governance/wha/en/</w:t>
        </w:r>
      </w:hyperlink>
      <w:r w:rsidR="002D3867">
        <w:rPr>
          <w:rFonts w:asciiTheme="majorHAnsi" w:hAnsiTheme="majorHAnsi"/>
          <w:sz w:val="16"/>
          <w:szCs w:val="16"/>
        </w:rPr>
        <w:t xml:space="preserve">, </w:t>
      </w:r>
      <w:r w:rsidR="00475494">
        <w:rPr>
          <w:rFonts w:asciiTheme="majorHAnsi" w:hAnsiTheme="majorHAnsi"/>
          <w:sz w:val="16"/>
          <w:szCs w:val="16"/>
        </w:rPr>
        <w:t>приступљено</w:t>
      </w:r>
      <w:r w:rsidR="00475494">
        <w:rPr>
          <w:rFonts w:asciiTheme="majorHAnsi" w:hAnsiTheme="majorHAnsi"/>
          <w:sz w:val="16"/>
          <w:szCs w:val="16"/>
          <w:lang w:val="sr-Cyrl-RS"/>
        </w:rPr>
        <w:t xml:space="preserve"> </w:t>
      </w:r>
      <w:r w:rsidR="00475494">
        <w:rPr>
          <w:rFonts w:asciiTheme="majorHAnsi" w:hAnsiTheme="majorHAnsi"/>
          <w:sz w:val="16"/>
          <w:szCs w:val="16"/>
        </w:rPr>
        <w:t>4.</w:t>
      </w:r>
      <w:r w:rsidR="00475494">
        <w:rPr>
          <w:rFonts w:asciiTheme="majorHAnsi" w:hAnsiTheme="majorHAnsi"/>
          <w:sz w:val="16"/>
          <w:szCs w:val="16"/>
          <w:lang w:val="sr-Cyrl-RS"/>
        </w:rPr>
        <w:t xml:space="preserve"> </w:t>
      </w:r>
      <w:r w:rsidR="005A094C" w:rsidRPr="005A094C">
        <w:rPr>
          <w:rFonts w:asciiTheme="majorHAnsi" w:hAnsiTheme="majorHAnsi"/>
          <w:sz w:val="16"/>
          <w:szCs w:val="16"/>
        </w:rPr>
        <w:t>7.</w:t>
      </w:r>
      <w:r w:rsidR="00475494">
        <w:rPr>
          <w:rFonts w:asciiTheme="majorHAnsi" w:hAnsiTheme="majorHAnsi"/>
          <w:sz w:val="16"/>
          <w:szCs w:val="16"/>
          <w:lang w:val="sr-Cyrl-RS"/>
        </w:rPr>
        <w:t xml:space="preserve"> </w:t>
      </w:r>
      <w:r w:rsidR="005A094C" w:rsidRPr="005A094C">
        <w:rPr>
          <w:rFonts w:asciiTheme="majorHAnsi" w:hAnsiTheme="majorHAnsi"/>
          <w:sz w:val="16"/>
          <w:szCs w:val="16"/>
        </w:rPr>
        <w:t xml:space="preserve">2018. </w:t>
      </w:r>
      <w:r w:rsidR="005A3E72">
        <w:rPr>
          <w:rFonts w:asciiTheme="majorHAnsi" w:hAnsiTheme="majorHAnsi"/>
          <w:sz w:val="16"/>
          <w:szCs w:val="16"/>
          <w:lang w:val="sr-Cyrl-RS"/>
        </w:rPr>
        <w:t>г</w:t>
      </w:r>
      <w:r w:rsidR="005A094C" w:rsidRPr="005A094C">
        <w:rPr>
          <w:rFonts w:asciiTheme="majorHAnsi" w:hAnsiTheme="majorHAnsi"/>
          <w:sz w:val="16"/>
          <w:szCs w:val="16"/>
        </w:rPr>
        <w:t>одине</w:t>
      </w:r>
      <w:r w:rsidR="00AF21B2">
        <w:rPr>
          <w:rFonts w:asciiTheme="majorHAnsi" w:hAnsiTheme="majorHAnsi"/>
          <w:sz w:val="16"/>
          <w:szCs w:val="16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01330"/>
    <w:multiLevelType w:val="hybridMultilevel"/>
    <w:tmpl w:val="B9A6B1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5218B8"/>
    <w:multiLevelType w:val="hybridMultilevel"/>
    <w:tmpl w:val="329E4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135BD"/>
    <w:multiLevelType w:val="hybridMultilevel"/>
    <w:tmpl w:val="BBB8F506"/>
    <w:lvl w:ilvl="0" w:tplc="DDEEB5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17895"/>
    <w:multiLevelType w:val="hybridMultilevel"/>
    <w:tmpl w:val="D7927ECC"/>
    <w:lvl w:ilvl="0" w:tplc="28D6E30C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 w15:restartNumberingAfterBreak="0">
    <w:nsid w:val="58B30EE9"/>
    <w:multiLevelType w:val="hybridMultilevel"/>
    <w:tmpl w:val="D750B948"/>
    <w:lvl w:ilvl="0" w:tplc="2CF6361A">
      <w:numFmt w:val="bullet"/>
      <w:lvlText w:val=""/>
      <w:lvlJc w:val="left"/>
      <w:pPr>
        <w:ind w:left="6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6A8372D5"/>
    <w:multiLevelType w:val="hybridMultilevel"/>
    <w:tmpl w:val="44865C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4FA"/>
    <w:rsid w:val="00000E89"/>
    <w:rsid w:val="000026EC"/>
    <w:rsid w:val="00010898"/>
    <w:rsid w:val="00011135"/>
    <w:rsid w:val="0001725F"/>
    <w:rsid w:val="0002090C"/>
    <w:rsid w:val="00026572"/>
    <w:rsid w:val="00033107"/>
    <w:rsid w:val="00034025"/>
    <w:rsid w:val="00036988"/>
    <w:rsid w:val="0004028D"/>
    <w:rsid w:val="00046737"/>
    <w:rsid w:val="00054A71"/>
    <w:rsid w:val="00060F68"/>
    <w:rsid w:val="000730B2"/>
    <w:rsid w:val="00083511"/>
    <w:rsid w:val="00084C6E"/>
    <w:rsid w:val="00093D7C"/>
    <w:rsid w:val="00095F49"/>
    <w:rsid w:val="000A0273"/>
    <w:rsid w:val="000A4388"/>
    <w:rsid w:val="000B34AE"/>
    <w:rsid w:val="000B4E41"/>
    <w:rsid w:val="000B523F"/>
    <w:rsid w:val="000B5BAF"/>
    <w:rsid w:val="000B71A2"/>
    <w:rsid w:val="000C197F"/>
    <w:rsid w:val="000D45DB"/>
    <w:rsid w:val="000E07F3"/>
    <w:rsid w:val="000E551B"/>
    <w:rsid w:val="000E79B3"/>
    <w:rsid w:val="000F3592"/>
    <w:rsid w:val="000F525E"/>
    <w:rsid w:val="000F76A5"/>
    <w:rsid w:val="00112A98"/>
    <w:rsid w:val="00117B69"/>
    <w:rsid w:val="00117EF3"/>
    <w:rsid w:val="0012123D"/>
    <w:rsid w:val="00143503"/>
    <w:rsid w:val="0014359F"/>
    <w:rsid w:val="001452A5"/>
    <w:rsid w:val="00146CE6"/>
    <w:rsid w:val="001579F6"/>
    <w:rsid w:val="0016235F"/>
    <w:rsid w:val="00162A51"/>
    <w:rsid w:val="001665A1"/>
    <w:rsid w:val="00171A27"/>
    <w:rsid w:val="00174FE1"/>
    <w:rsid w:val="00186583"/>
    <w:rsid w:val="00187904"/>
    <w:rsid w:val="00190716"/>
    <w:rsid w:val="001A0DB1"/>
    <w:rsid w:val="001A23DD"/>
    <w:rsid w:val="001B1095"/>
    <w:rsid w:val="001B17DE"/>
    <w:rsid w:val="001B2698"/>
    <w:rsid w:val="001B3859"/>
    <w:rsid w:val="001D4453"/>
    <w:rsid w:val="001E6E1E"/>
    <w:rsid w:val="001E7B50"/>
    <w:rsid w:val="001F4B9B"/>
    <w:rsid w:val="00213178"/>
    <w:rsid w:val="00213A9F"/>
    <w:rsid w:val="00222F1D"/>
    <w:rsid w:val="00223BFA"/>
    <w:rsid w:val="00234FDF"/>
    <w:rsid w:val="00240007"/>
    <w:rsid w:val="00245C39"/>
    <w:rsid w:val="002637F9"/>
    <w:rsid w:val="00263C96"/>
    <w:rsid w:val="002770DD"/>
    <w:rsid w:val="00280876"/>
    <w:rsid w:val="00283C7F"/>
    <w:rsid w:val="002975C6"/>
    <w:rsid w:val="002A2BB7"/>
    <w:rsid w:val="002A7F0E"/>
    <w:rsid w:val="002B0C35"/>
    <w:rsid w:val="002B1FEE"/>
    <w:rsid w:val="002B381D"/>
    <w:rsid w:val="002C003F"/>
    <w:rsid w:val="002C2E47"/>
    <w:rsid w:val="002D3432"/>
    <w:rsid w:val="002D3867"/>
    <w:rsid w:val="002D49D9"/>
    <w:rsid w:val="002E61B0"/>
    <w:rsid w:val="002F0EE8"/>
    <w:rsid w:val="003102E5"/>
    <w:rsid w:val="00311E21"/>
    <w:rsid w:val="003129B4"/>
    <w:rsid w:val="0031339A"/>
    <w:rsid w:val="00314ACC"/>
    <w:rsid w:val="00316265"/>
    <w:rsid w:val="00321D82"/>
    <w:rsid w:val="00326857"/>
    <w:rsid w:val="00334B49"/>
    <w:rsid w:val="0034106E"/>
    <w:rsid w:val="00350453"/>
    <w:rsid w:val="003573FE"/>
    <w:rsid w:val="00360377"/>
    <w:rsid w:val="00360E78"/>
    <w:rsid w:val="00363477"/>
    <w:rsid w:val="00366D8B"/>
    <w:rsid w:val="0036729A"/>
    <w:rsid w:val="003704F3"/>
    <w:rsid w:val="00375095"/>
    <w:rsid w:val="0037521F"/>
    <w:rsid w:val="00377CED"/>
    <w:rsid w:val="003807D4"/>
    <w:rsid w:val="00380F2E"/>
    <w:rsid w:val="003828CF"/>
    <w:rsid w:val="003869A2"/>
    <w:rsid w:val="00390C33"/>
    <w:rsid w:val="00395636"/>
    <w:rsid w:val="003A4F84"/>
    <w:rsid w:val="003A5422"/>
    <w:rsid w:val="003A7057"/>
    <w:rsid w:val="003B4687"/>
    <w:rsid w:val="003C6E26"/>
    <w:rsid w:val="003D303C"/>
    <w:rsid w:val="003D5CB1"/>
    <w:rsid w:val="003D6316"/>
    <w:rsid w:val="003E1E26"/>
    <w:rsid w:val="003E398F"/>
    <w:rsid w:val="003E7C7B"/>
    <w:rsid w:val="003F1ACA"/>
    <w:rsid w:val="003F1F16"/>
    <w:rsid w:val="0040199C"/>
    <w:rsid w:val="00403ED0"/>
    <w:rsid w:val="00413B16"/>
    <w:rsid w:val="00414A1A"/>
    <w:rsid w:val="00431167"/>
    <w:rsid w:val="0043454B"/>
    <w:rsid w:val="00442EE6"/>
    <w:rsid w:val="004453E0"/>
    <w:rsid w:val="004456DE"/>
    <w:rsid w:val="00455EF8"/>
    <w:rsid w:val="00457883"/>
    <w:rsid w:val="004671B2"/>
    <w:rsid w:val="00475494"/>
    <w:rsid w:val="00475C04"/>
    <w:rsid w:val="0048409F"/>
    <w:rsid w:val="004877C8"/>
    <w:rsid w:val="00493F39"/>
    <w:rsid w:val="00497667"/>
    <w:rsid w:val="004A7FC1"/>
    <w:rsid w:val="004B5C48"/>
    <w:rsid w:val="004B6FE0"/>
    <w:rsid w:val="004C2530"/>
    <w:rsid w:val="004C37E5"/>
    <w:rsid w:val="004C4DF8"/>
    <w:rsid w:val="004C6438"/>
    <w:rsid w:val="004C738D"/>
    <w:rsid w:val="004D7EC7"/>
    <w:rsid w:val="004E3548"/>
    <w:rsid w:val="004E686F"/>
    <w:rsid w:val="004E6ADA"/>
    <w:rsid w:val="004F0973"/>
    <w:rsid w:val="005053E3"/>
    <w:rsid w:val="00510BA7"/>
    <w:rsid w:val="005176FC"/>
    <w:rsid w:val="005208FE"/>
    <w:rsid w:val="00527D9D"/>
    <w:rsid w:val="005320CE"/>
    <w:rsid w:val="00537507"/>
    <w:rsid w:val="00547E92"/>
    <w:rsid w:val="00550604"/>
    <w:rsid w:val="005553E9"/>
    <w:rsid w:val="00560B62"/>
    <w:rsid w:val="00561818"/>
    <w:rsid w:val="00563CBC"/>
    <w:rsid w:val="005656C1"/>
    <w:rsid w:val="00572DB6"/>
    <w:rsid w:val="00580E30"/>
    <w:rsid w:val="00584838"/>
    <w:rsid w:val="00586D48"/>
    <w:rsid w:val="0058734D"/>
    <w:rsid w:val="0059198A"/>
    <w:rsid w:val="005949D6"/>
    <w:rsid w:val="00597E0A"/>
    <w:rsid w:val="005A08FA"/>
    <w:rsid w:val="005A094C"/>
    <w:rsid w:val="005A35CE"/>
    <w:rsid w:val="005A3E72"/>
    <w:rsid w:val="005A4894"/>
    <w:rsid w:val="005B13AC"/>
    <w:rsid w:val="005C00DB"/>
    <w:rsid w:val="005C07EF"/>
    <w:rsid w:val="005C144B"/>
    <w:rsid w:val="005C4800"/>
    <w:rsid w:val="005C4ED6"/>
    <w:rsid w:val="005E40D5"/>
    <w:rsid w:val="005E52D5"/>
    <w:rsid w:val="005F18B3"/>
    <w:rsid w:val="005F7AD6"/>
    <w:rsid w:val="00600FC3"/>
    <w:rsid w:val="00602BA8"/>
    <w:rsid w:val="00606515"/>
    <w:rsid w:val="00610CFB"/>
    <w:rsid w:val="006114C1"/>
    <w:rsid w:val="00613412"/>
    <w:rsid w:val="006137E4"/>
    <w:rsid w:val="00613D04"/>
    <w:rsid w:val="006172E6"/>
    <w:rsid w:val="00622AFD"/>
    <w:rsid w:val="0062537B"/>
    <w:rsid w:val="00626C93"/>
    <w:rsid w:val="00637537"/>
    <w:rsid w:val="00640950"/>
    <w:rsid w:val="0064513C"/>
    <w:rsid w:val="00646F42"/>
    <w:rsid w:val="006506AC"/>
    <w:rsid w:val="006521BB"/>
    <w:rsid w:val="00660844"/>
    <w:rsid w:val="00670DCB"/>
    <w:rsid w:val="006727CE"/>
    <w:rsid w:val="00675A61"/>
    <w:rsid w:val="0067767A"/>
    <w:rsid w:val="006926F9"/>
    <w:rsid w:val="00693D63"/>
    <w:rsid w:val="00696023"/>
    <w:rsid w:val="006B136C"/>
    <w:rsid w:val="006B4A03"/>
    <w:rsid w:val="006B5D8A"/>
    <w:rsid w:val="006B61FD"/>
    <w:rsid w:val="006C3E2D"/>
    <w:rsid w:val="006D42F1"/>
    <w:rsid w:val="006D5CD5"/>
    <w:rsid w:val="006E4628"/>
    <w:rsid w:val="006E5CF4"/>
    <w:rsid w:val="006E5E31"/>
    <w:rsid w:val="006E734A"/>
    <w:rsid w:val="006E7C54"/>
    <w:rsid w:val="006F0700"/>
    <w:rsid w:val="006F408B"/>
    <w:rsid w:val="0070133C"/>
    <w:rsid w:val="007013BF"/>
    <w:rsid w:val="00711C4E"/>
    <w:rsid w:val="00711F24"/>
    <w:rsid w:val="00712741"/>
    <w:rsid w:val="00714754"/>
    <w:rsid w:val="00716973"/>
    <w:rsid w:val="00741C62"/>
    <w:rsid w:val="007571EB"/>
    <w:rsid w:val="00767BE6"/>
    <w:rsid w:val="0077250C"/>
    <w:rsid w:val="00777756"/>
    <w:rsid w:val="0078378F"/>
    <w:rsid w:val="00785EE2"/>
    <w:rsid w:val="007A1589"/>
    <w:rsid w:val="007B094A"/>
    <w:rsid w:val="007B1299"/>
    <w:rsid w:val="007B137F"/>
    <w:rsid w:val="007B4701"/>
    <w:rsid w:val="007B4992"/>
    <w:rsid w:val="007C1248"/>
    <w:rsid w:val="007D44FA"/>
    <w:rsid w:val="007F07DD"/>
    <w:rsid w:val="007F4BA0"/>
    <w:rsid w:val="007F5808"/>
    <w:rsid w:val="007F5A7B"/>
    <w:rsid w:val="007F6D1C"/>
    <w:rsid w:val="008013AE"/>
    <w:rsid w:val="00805EE6"/>
    <w:rsid w:val="00822F5F"/>
    <w:rsid w:val="00823D68"/>
    <w:rsid w:val="008244A2"/>
    <w:rsid w:val="00826119"/>
    <w:rsid w:val="00831A87"/>
    <w:rsid w:val="00837883"/>
    <w:rsid w:val="00850472"/>
    <w:rsid w:val="00857654"/>
    <w:rsid w:val="00865E97"/>
    <w:rsid w:val="00873BD2"/>
    <w:rsid w:val="00875090"/>
    <w:rsid w:val="00882665"/>
    <w:rsid w:val="0088469E"/>
    <w:rsid w:val="008873BE"/>
    <w:rsid w:val="0089045B"/>
    <w:rsid w:val="00895F59"/>
    <w:rsid w:val="008965FA"/>
    <w:rsid w:val="00897312"/>
    <w:rsid w:val="008A1311"/>
    <w:rsid w:val="008A36E7"/>
    <w:rsid w:val="008B2578"/>
    <w:rsid w:val="008C0534"/>
    <w:rsid w:val="008C5791"/>
    <w:rsid w:val="008C77D3"/>
    <w:rsid w:val="008D1DAD"/>
    <w:rsid w:val="008E0316"/>
    <w:rsid w:val="008E34F8"/>
    <w:rsid w:val="009029BD"/>
    <w:rsid w:val="009065C1"/>
    <w:rsid w:val="0090729B"/>
    <w:rsid w:val="00910182"/>
    <w:rsid w:val="00913341"/>
    <w:rsid w:val="00913B8C"/>
    <w:rsid w:val="00915AF9"/>
    <w:rsid w:val="0092499A"/>
    <w:rsid w:val="00926CAE"/>
    <w:rsid w:val="0093226F"/>
    <w:rsid w:val="00932F1D"/>
    <w:rsid w:val="00934E6D"/>
    <w:rsid w:val="00936158"/>
    <w:rsid w:val="00945AAC"/>
    <w:rsid w:val="00950C4F"/>
    <w:rsid w:val="00954A5A"/>
    <w:rsid w:val="00954DB2"/>
    <w:rsid w:val="0096049D"/>
    <w:rsid w:val="00972410"/>
    <w:rsid w:val="00974A26"/>
    <w:rsid w:val="009831D3"/>
    <w:rsid w:val="00986D73"/>
    <w:rsid w:val="00991A44"/>
    <w:rsid w:val="00991E8B"/>
    <w:rsid w:val="009923E3"/>
    <w:rsid w:val="00992F35"/>
    <w:rsid w:val="009932B0"/>
    <w:rsid w:val="00994504"/>
    <w:rsid w:val="009956CD"/>
    <w:rsid w:val="00995912"/>
    <w:rsid w:val="00995DA5"/>
    <w:rsid w:val="009A0C11"/>
    <w:rsid w:val="009A6F9F"/>
    <w:rsid w:val="009B3183"/>
    <w:rsid w:val="009B4D92"/>
    <w:rsid w:val="009B7BCA"/>
    <w:rsid w:val="009C28F0"/>
    <w:rsid w:val="009C45CA"/>
    <w:rsid w:val="009C61DB"/>
    <w:rsid w:val="009D2B9A"/>
    <w:rsid w:val="009D4372"/>
    <w:rsid w:val="009D58AE"/>
    <w:rsid w:val="009E2F49"/>
    <w:rsid w:val="009E3F9B"/>
    <w:rsid w:val="009F019F"/>
    <w:rsid w:val="009F1FA1"/>
    <w:rsid w:val="009F3CB0"/>
    <w:rsid w:val="009F5A4F"/>
    <w:rsid w:val="00A04120"/>
    <w:rsid w:val="00A04A77"/>
    <w:rsid w:val="00A05516"/>
    <w:rsid w:val="00A139E8"/>
    <w:rsid w:val="00A13BE0"/>
    <w:rsid w:val="00A17681"/>
    <w:rsid w:val="00A21C45"/>
    <w:rsid w:val="00A2202F"/>
    <w:rsid w:val="00A220DE"/>
    <w:rsid w:val="00A228A2"/>
    <w:rsid w:val="00A26C49"/>
    <w:rsid w:val="00A430AC"/>
    <w:rsid w:val="00A6550B"/>
    <w:rsid w:val="00A705E3"/>
    <w:rsid w:val="00A814C8"/>
    <w:rsid w:val="00A841CE"/>
    <w:rsid w:val="00A9357B"/>
    <w:rsid w:val="00A96102"/>
    <w:rsid w:val="00AA05E9"/>
    <w:rsid w:val="00AB3085"/>
    <w:rsid w:val="00AC5DE7"/>
    <w:rsid w:val="00AC6FC5"/>
    <w:rsid w:val="00AD46DE"/>
    <w:rsid w:val="00AD5E05"/>
    <w:rsid w:val="00AF21B2"/>
    <w:rsid w:val="00AF370F"/>
    <w:rsid w:val="00AF50D3"/>
    <w:rsid w:val="00AF754C"/>
    <w:rsid w:val="00B01D1B"/>
    <w:rsid w:val="00B10010"/>
    <w:rsid w:val="00B117E9"/>
    <w:rsid w:val="00B146FD"/>
    <w:rsid w:val="00B148E9"/>
    <w:rsid w:val="00B165CC"/>
    <w:rsid w:val="00B176C4"/>
    <w:rsid w:val="00B17B92"/>
    <w:rsid w:val="00B22790"/>
    <w:rsid w:val="00B25C60"/>
    <w:rsid w:val="00B270B9"/>
    <w:rsid w:val="00B301FE"/>
    <w:rsid w:val="00B31A97"/>
    <w:rsid w:val="00B33EF4"/>
    <w:rsid w:val="00B36F00"/>
    <w:rsid w:val="00B37A86"/>
    <w:rsid w:val="00B448D6"/>
    <w:rsid w:val="00B467DA"/>
    <w:rsid w:val="00B50154"/>
    <w:rsid w:val="00B51817"/>
    <w:rsid w:val="00B56E11"/>
    <w:rsid w:val="00B66409"/>
    <w:rsid w:val="00B7114A"/>
    <w:rsid w:val="00B77891"/>
    <w:rsid w:val="00B77BF5"/>
    <w:rsid w:val="00B8735E"/>
    <w:rsid w:val="00B97F6C"/>
    <w:rsid w:val="00BA6B03"/>
    <w:rsid w:val="00BA6E15"/>
    <w:rsid w:val="00BA7551"/>
    <w:rsid w:val="00BB0D4C"/>
    <w:rsid w:val="00BB31C9"/>
    <w:rsid w:val="00BC0A54"/>
    <w:rsid w:val="00BD488B"/>
    <w:rsid w:val="00BD5666"/>
    <w:rsid w:val="00BE3B4E"/>
    <w:rsid w:val="00BE428E"/>
    <w:rsid w:val="00BF60B4"/>
    <w:rsid w:val="00BF7605"/>
    <w:rsid w:val="00C01880"/>
    <w:rsid w:val="00C07263"/>
    <w:rsid w:val="00C118AF"/>
    <w:rsid w:val="00C23BD0"/>
    <w:rsid w:val="00C24AE8"/>
    <w:rsid w:val="00C269AF"/>
    <w:rsid w:val="00C33C94"/>
    <w:rsid w:val="00C35F4E"/>
    <w:rsid w:val="00C37F80"/>
    <w:rsid w:val="00C504BA"/>
    <w:rsid w:val="00C507AF"/>
    <w:rsid w:val="00C50FE2"/>
    <w:rsid w:val="00C6071B"/>
    <w:rsid w:val="00C85CA5"/>
    <w:rsid w:val="00C9179C"/>
    <w:rsid w:val="00C917AE"/>
    <w:rsid w:val="00CA03DF"/>
    <w:rsid w:val="00CA16B5"/>
    <w:rsid w:val="00CA583F"/>
    <w:rsid w:val="00CB4F34"/>
    <w:rsid w:val="00CB4F85"/>
    <w:rsid w:val="00CB503A"/>
    <w:rsid w:val="00CD1B1E"/>
    <w:rsid w:val="00CE2B97"/>
    <w:rsid w:val="00CE4219"/>
    <w:rsid w:val="00CE57C0"/>
    <w:rsid w:val="00CF0759"/>
    <w:rsid w:val="00D03CDC"/>
    <w:rsid w:val="00D03F63"/>
    <w:rsid w:val="00D10C2E"/>
    <w:rsid w:val="00D16C88"/>
    <w:rsid w:val="00D30640"/>
    <w:rsid w:val="00D4267F"/>
    <w:rsid w:val="00D540D6"/>
    <w:rsid w:val="00D57DBB"/>
    <w:rsid w:val="00D7106F"/>
    <w:rsid w:val="00D728C1"/>
    <w:rsid w:val="00D80BAC"/>
    <w:rsid w:val="00D83E27"/>
    <w:rsid w:val="00D85863"/>
    <w:rsid w:val="00D85E24"/>
    <w:rsid w:val="00D938B5"/>
    <w:rsid w:val="00D953C0"/>
    <w:rsid w:val="00D95EA5"/>
    <w:rsid w:val="00DA0FDB"/>
    <w:rsid w:val="00DA5FCE"/>
    <w:rsid w:val="00DA6B2A"/>
    <w:rsid w:val="00DA7869"/>
    <w:rsid w:val="00DB1FFB"/>
    <w:rsid w:val="00DC0375"/>
    <w:rsid w:val="00DC1AC8"/>
    <w:rsid w:val="00DC1D80"/>
    <w:rsid w:val="00DC64BC"/>
    <w:rsid w:val="00DC6E22"/>
    <w:rsid w:val="00DD7C53"/>
    <w:rsid w:val="00DD7DCB"/>
    <w:rsid w:val="00DE00CA"/>
    <w:rsid w:val="00DE23EB"/>
    <w:rsid w:val="00DE356D"/>
    <w:rsid w:val="00DE610D"/>
    <w:rsid w:val="00DE7522"/>
    <w:rsid w:val="00DE7F03"/>
    <w:rsid w:val="00DF06BB"/>
    <w:rsid w:val="00E00FC7"/>
    <w:rsid w:val="00E020A4"/>
    <w:rsid w:val="00E03153"/>
    <w:rsid w:val="00E10EC5"/>
    <w:rsid w:val="00E11035"/>
    <w:rsid w:val="00E11B2B"/>
    <w:rsid w:val="00E23AA2"/>
    <w:rsid w:val="00E244FC"/>
    <w:rsid w:val="00E427A9"/>
    <w:rsid w:val="00E46A28"/>
    <w:rsid w:val="00E520A9"/>
    <w:rsid w:val="00E53871"/>
    <w:rsid w:val="00E53C96"/>
    <w:rsid w:val="00E55F44"/>
    <w:rsid w:val="00E611DC"/>
    <w:rsid w:val="00E61BB9"/>
    <w:rsid w:val="00E640CC"/>
    <w:rsid w:val="00E647DC"/>
    <w:rsid w:val="00E65165"/>
    <w:rsid w:val="00E71CA8"/>
    <w:rsid w:val="00E7654D"/>
    <w:rsid w:val="00E76883"/>
    <w:rsid w:val="00E776EC"/>
    <w:rsid w:val="00E8398F"/>
    <w:rsid w:val="00E96E0C"/>
    <w:rsid w:val="00EA48CA"/>
    <w:rsid w:val="00EB1385"/>
    <w:rsid w:val="00EB3B5D"/>
    <w:rsid w:val="00EB4FE6"/>
    <w:rsid w:val="00EB7470"/>
    <w:rsid w:val="00EC0826"/>
    <w:rsid w:val="00EC25E5"/>
    <w:rsid w:val="00ED1EBD"/>
    <w:rsid w:val="00ED2DB9"/>
    <w:rsid w:val="00EE601F"/>
    <w:rsid w:val="00EE714B"/>
    <w:rsid w:val="00EF135B"/>
    <w:rsid w:val="00EF56CB"/>
    <w:rsid w:val="00EF7995"/>
    <w:rsid w:val="00F064F0"/>
    <w:rsid w:val="00F103F0"/>
    <w:rsid w:val="00F247F5"/>
    <w:rsid w:val="00F26279"/>
    <w:rsid w:val="00F37149"/>
    <w:rsid w:val="00F4307F"/>
    <w:rsid w:val="00F4339A"/>
    <w:rsid w:val="00F5066D"/>
    <w:rsid w:val="00F54EB9"/>
    <w:rsid w:val="00F604CC"/>
    <w:rsid w:val="00F658C8"/>
    <w:rsid w:val="00F71C33"/>
    <w:rsid w:val="00F72EF6"/>
    <w:rsid w:val="00F73CDE"/>
    <w:rsid w:val="00F80256"/>
    <w:rsid w:val="00F82D0B"/>
    <w:rsid w:val="00F84C34"/>
    <w:rsid w:val="00F909EA"/>
    <w:rsid w:val="00F91AC8"/>
    <w:rsid w:val="00F95ED0"/>
    <w:rsid w:val="00FA218F"/>
    <w:rsid w:val="00FB075A"/>
    <w:rsid w:val="00FC1142"/>
    <w:rsid w:val="00FC1264"/>
    <w:rsid w:val="00FC2D49"/>
    <w:rsid w:val="00FD1EE8"/>
    <w:rsid w:val="00FD21C0"/>
    <w:rsid w:val="00FD2C73"/>
    <w:rsid w:val="00FE0BE4"/>
    <w:rsid w:val="00FE3E20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BB3A67-726E-40CE-BD41-4A72CA8C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77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9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2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499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46CE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6C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6C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C2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5E5"/>
  </w:style>
  <w:style w:type="paragraph" w:styleId="Footer">
    <w:name w:val="footer"/>
    <w:basedOn w:val="Normal"/>
    <w:link w:val="FooterChar"/>
    <w:uiPriority w:val="99"/>
    <w:unhideWhenUsed/>
    <w:rsid w:val="00EC2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5E5"/>
  </w:style>
  <w:style w:type="character" w:styleId="Hyperlink">
    <w:name w:val="Hyperlink"/>
    <w:basedOn w:val="DefaultParagraphFont"/>
    <w:uiPriority w:val="99"/>
    <w:unhideWhenUsed/>
    <w:rsid w:val="00C507A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877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B61FD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504BA"/>
    <w:pPr>
      <w:tabs>
        <w:tab w:val="right" w:leader="dot" w:pos="9350"/>
      </w:tabs>
      <w:spacing w:after="12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C269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ho.int/mediacentre/events/governance/wha/e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v.uk/government/organisations/department-of-health-and-social-ca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rankenkassenzentrale.de/wiki/gesetzliche-krankenversicherung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ho.int/mediacentre/events/governance/wha/en/" TargetMode="External"/><Relationship Id="rId2" Type="http://schemas.openxmlformats.org/officeDocument/2006/relationships/hyperlink" Target="https://www.gov.uk/government/organisations/department-of-health-and-social-care" TargetMode="External"/><Relationship Id="rId1" Type="http://schemas.openxmlformats.org/officeDocument/2006/relationships/hyperlink" Target="https://www.krankenkassenzentrale.de/wiki/gesetzliche-krankenversicheru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626B6-98DD-4E2F-BFFD-12227D80A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3819</Words>
  <Characters>21769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Bibliotekar</dc:creator>
  <cp:lastModifiedBy>DraganR</cp:lastModifiedBy>
  <cp:revision>2</cp:revision>
  <cp:lastPrinted>2018-07-27T11:50:00Z</cp:lastPrinted>
  <dcterms:created xsi:type="dcterms:W3CDTF">2019-03-11T13:12:00Z</dcterms:created>
  <dcterms:modified xsi:type="dcterms:W3CDTF">2019-03-11T13:12:00Z</dcterms:modified>
</cp:coreProperties>
</file>